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040"/>
      </w:tblGrid>
      <w:tr w:rsidR="0086720A" w:rsidRPr="003522DA" w14:paraId="59897AD8" w14:textId="77777777" w:rsidTr="007B262C">
        <w:tc>
          <w:tcPr>
            <w:tcW w:w="4608" w:type="dxa"/>
            <w:shd w:val="clear" w:color="auto" w:fill="auto"/>
          </w:tcPr>
          <w:p w14:paraId="100BD055" w14:textId="77777777" w:rsidR="0086720A" w:rsidRPr="003522DA" w:rsidRDefault="0086720A" w:rsidP="0042259A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14:paraId="304406F3" w14:textId="77777777" w:rsidR="0086720A" w:rsidRPr="007B5134" w:rsidRDefault="0086720A" w:rsidP="0042259A">
            <w:pPr>
              <w:pStyle w:val="a3"/>
              <w:rPr>
                <w:rFonts w:ascii="Times New Roman" w:hAnsi="Times New Roman"/>
                <w:b/>
                <w:bCs/>
                <w:szCs w:val="28"/>
              </w:rPr>
            </w:pPr>
            <w:r w:rsidRPr="007B5134">
              <w:rPr>
                <w:rFonts w:ascii="Times New Roman" w:hAnsi="Times New Roman"/>
                <w:b/>
                <w:bCs/>
                <w:szCs w:val="28"/>
              </w:rPr>
              <w:t>УТВЕРЖДЕНА</w:t>
            </w:r>
          </w:p>
          <w:p w14:paraId="3CCB695A" w14:textId="77777777" w:rsidR="0086720A" w:rsidRPr="003522DA" w:rsidRDefault="00AB62B0" w:rsidP="0042259A">
            <w:pPr>
              <w:pStyle w:val="a3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</w:rPr>
              <w:t>Приказом П</w:t>
            </w:r>
            <w:r w:rsidR="0086720A" w:rsidRPr="003522DA">
              <w:rPr>
                <w:rFonts w:ascii="Times New Roman" w:hAnsi="Times New Roman"/>
                <w:szCs w:val="28"/>
              </w:rPr>
              <w:t>редседателя</w:t>
            </w:r>
          </w:p>
          <w:p w14:paraId="629569B3" w14:textId="77777777" w:rsidR="0086720A" w:rsidRPr="003522DA" w:rsidRDefault="009E6AEC" w:rsidP="009E6AEC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РГУ </w:t>
            </w:r>
            <w:r w:rsidR="00AB62B0">
              <w:rPr>
                <w:rFonts w:ascii="Times New Roman" w:hAnsi="Times New Roman"/>
                <w:szCs w:val="28"/>
                <w:lang w:val="kk-KZ"/>
              </w:rPr>
              <w:t>«Комитет</w:t>
            </w:r>
            <w:r w:rsidR="0086720A" w:rsidRPr="003522DA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медицинского и фармацевтического </w:t>
            </w:r>
            <w:r w:rsidR="0086720A" w:rsidRPr="003522DA">
              <w:rPr>
                <w:rFonts w:ascii="Times New Roman" w:hAnsi="Times New Roman"/>
                <w:szCs w:val="28"/>
              </w:rPr>
              <w:t xml:space="preserve">контроля </w:t>
            </w:r>
          </w:p>
          <w:p w14:paraId="1904E739" w14:textId="77777777" w:rsidR="0086720A" w:rsidRPr="003522DA" w:rsidRDefault="0086720A" w:rsidP="0042259A">
            <w:pPr>
              <w:pStyle w:val="a3"/>
              <w:rPr>
                <w:rFonts w:ascii="Times New Roman" w:hAnsi="Times New Roman"/>
                <w:szCs w:val="28"/>
              </w:rPr>
            </w:pPr>
            <w:r w:rsidRPr="003522DA">
              <w:rPr>
                <w:rFonts w:ascii="Times New Roman" w:hAnsi="Times New Roman"/>
                <w:szCs w:val="28"/>
              </w:rPr>
              <w:t xml:space="preserve">Министерства </w:t>
            </w:r>
            <w:r w:rsidRPr="003522DA">
              <w:rPr>
                <w:rFonts w:ascii="Times New Roman" w:hAnsi="Times New Roman"/>
                <w:szCs w:val="28"/>
                <w:lang w:val="kk-KZ"/>
              </w:rPr>
              <w:t>з</w:t>
            </w:r>
            <w:proofErr w:type="spellStart"/>
            <w:r w:rsidRPr="003522DA">
              <w:rPr>
                <w:rFonts w:ascii="Times New Roman" w:hAnsi="Times New Roman"/>
                <w:szCs w:val="28"/>
              </w:rPr>
              <w:t>дравоохранения</w:t>
            </w:r>
            <w:proofErr w:type="spellEnd"/>
            <w:r w:rsidRPr="003522DA">
              <w:rPr>
                <w:rFonts w:ascii="Times New Roman" w:hAnsi="Times New Roman"/>
                <w:szCs w:val="28"/>
              </w:rPr>
              <w:t xml:space="preserve"> </w:t>
            </w:r>
          </w:p>
          <w:p w14:paraId="6C273E76" w14:textId="77777777" w:rsidR="00AB62B0" w:rsidRDefault="0086720A" w:rsidP="0042259A">
            <w:pPr>
              <w:pStyle w:val="a3"/>
              <w:rPr>
                <w:rFonts w:ascii="Times New Roman" w:hAnsi="Times New Roman"/>
                <w:szCs w:val="28"/>
              </w:rPr>
            </w:pPr>
            <w:r w:rsidRPr="003522DA">
              <w:rPr>
                <w:rFonts w:ascii="Times New Roman" w:hAnsi="Times New Roman"/>
                <w:szCs w:val="28"/>
              </w:rPr>
              <w:t>Р</w:t>
            </w:r>
            <w:r w:rsidR="00AB62B0">
              <w:rPr>
                <w:rFonts w:ascii="Times New Roman" w:hAnsi="Times New Roman"/>
                <w:szCs w:val="28"/>
              </w:rPr>
              <w:t xml:space="preserve">еспублики </w:t>
            </w:r>
            <w:r w:rsidRPr="003522DA">
              <w:rPr>
                <w:rFonts w:ascii="Times New Roman" w:hAnsi="Times New Roman"/>
                <w:szCs w:val="28"/>
              </w:rPr>
              <w:t>К</w:t>
            </w:r>
            <w:r w:rsidR="00AB62B0">
              <w:rPr>
                <w:rFonts w:ascii="Times New Roman" w:hAnsi="Times New Roman"/>
                <w:szCs w:val="28"/>
              </w:rPr>
              <w:t>азахстан</w:t>
            </w:r>
            <w:r w:rsidR="00D8003B">
              <w:rPr>
                <w:rFonts w:ascii="Times New Roman" w:hAnsi="Times New Roman"/>
                <w:szCs w:val="28"/>
              </w:rPr>
              <w:t>»</w:t>
            </w:r>
          </w:p>
          <w:p w14:paraId="38941D05" w14:textId="3E20C3C6" w:rsidR="0086720A" w:rsidRPr="003522DA" w:rsidRDefault="0086720A" w:rsidP="0042259A">
            <w:pPr>
              <w:pStyle w:val="a3"/>
              <w:rPr>
                <w:rFonts w:ascii="Times New Roman" w:hAnsi="Times New Roman"/>
                <w:szCs w:val="28"/>
              </w:rPr>
            </w:pPr>
            <w:r w:rsidRPr="003522DA">
              <w:rPr>
                <w:rFonts w:ascii="Times New Roman" w:hAnsi="Times New Roman"/>
                <w:szCs w:val="28"/>
              </w:rPr>
              <w:t>от «</w:t>
            </w:r>
            <w:r w:rsidR="00AD7DE6">
              <w:rPr>
                <w:rFonts w:ascii="Times New Roman" w:hAnsi="Times New Roman"/>
                <w:szCs w:val="28"/>
              </w:rPr>
              <w:t>05</w:t>
            </w:r>
            <w:r w:rsidRPr="003522DA">
              <w:rPr>
                <w:rFonts w:ascii="Times New Roman" w:hAnsi="Times New Roman"/>
                <w:szCs w:val="28"/>
              </w:rPr>
              <w:t xml:space="preserve">» </w:t>
            </w:r>
            <w:proofErr w:type="gramStart"/>
            <w:r w:rsidR="00AD7DE6">
              <w:rPr>
                <w:rFonts w:ascii="Times New Roman" w:hAnsi="Times New Roman"/>
                <w:szCs w:val="28"/>
              </w:rPr>
              <w:t>03</w:t>
            </w:r>
            <w:r w:rsidRPr="003522DA">
              <w:rPr>
                <w:rFonts w:ascii="Times New Roman" w:hAnsi="Times New Roman"/>
                <w:szCs w:val="28"/>
              </w:rPr>
              <w:t xml:space="preserve">  20</w:t>
            </w:r>
            <w:r w:rsidR="00AD7DE6">
              <w:rPr>
                <w:rFonts w:ascii="Times New Roman" w:hAnsi="Times New Roman"/>
                <w:szCs w:val="28"/>
              </w:rPr>
              <w:t>24</w:t>
            </w:r>
            <w:proofErr w:type="gramEnd"/>
            <w:r w:rsidRPr="003522DA">
              <w:rPr>
                <w:rFonts w:ascii="Times New Roman" w:hAnsi="Times New Roman"/>
                <w:szCs w:val="28"/>
              </w:rPr>
              <w:t xml:space="preserve">   г.</w:t>
            </w:r>
          </w:p>
          <w:p w14:paraId="252A0EE0" w14:textId="401BD1A5" w:rsidR="0086720A" w:rsidRPr="003522DA" w:rsidRDefault="0086720A" w:rsidP="0042259A">
            <w:pPr>
              <w:pStyle w:val="a3"/>
              <w:rPr>
                <w:rFonts w:ascii="Times New Roman" w:hAnsi="Times New Roman"/>
                <w:szCs w:val="28"/>
              </w:rPr>
            </w:pPr>
            <w:r w:rsidRPr="003522DA">
              <w:rPr>
                <w:rFonts w:ascii="Times New Roman" w:hAnsi="Times New Roman"/>
                <w:szCs w:val="28"/>
              </w:rPr>
              <w:t>№</w:t>
            </w:r>
            <w:r w:rsidR="00AD7DE6">
              <w:rPr>
                <w:rFonts w:ascii="Times New Roman" w:hAnsi="Times New Roman"/>
                <w:szCs w:val="28"/>
                <w:lang w:val="en-US"/>
              </w:rPr>
              <w:t>N072269</w:t>
            </w:r>
            <w:r w:rsidRPr="003522DA">
              <w:rPr>
                <w:rFonts w:ascii="Times New Roman" w:hAnsi="Times New Roman"/>
                <w:szCs w:val="28"/>
              </w:rPr>
              <w:t xml:space="preserve">      </w:t>
            </w:r>
          </w:p>
        </w:tc>
      </w:tr>
    </w:tbl>
    <w:p w14:paraId="0A3A97A6" w14:textId="77777777" w:rsidR="0086720A" w:rsidRPr="003522DA" w:rsidRDefault="0086720A" w:rsidP="007000F7">
      <w:pPr>
        <w:ind w:right="565"/>
        <w:jc w:val="center"/>
        <w:rPr>
          <w:b/>
          <w:sz w:val="28"/>
          <w:szCs w:val="28"/>
        </w:rPr>
      </w:pPr>
    </w:p>
    <w:p w14:paraId="04D8735B" w14:textId="77777777" w:rsidR="00037076" w:rsidRPr="00037076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Инструкция по медицинскому применению</w:t>
      </w:r>
    </w:p>
    <w:p w14:paraId="7ECE1870" w14:textId="77777777" w:rsidR="007000F7" w:rsidRPr="003522DA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лекарственного препарата (Листок-вкладыш)</w:t>
      </w:r>
    </w:p>
    <w:p w14:paraId="438C6B3C" w14:textId="77777777" w:rsidR="007000F7" w:rsidRPr="003522DA" w:rsidRDefault="007000F7" w:rsidP="0047616F">
      <w:pPr>
        <w:ind w:right="-2"/>
        <w:jc w:val="both"/>
        <w:rPr>
          <w:b/>
          <w:sz w:val="28"/>
          <w:szCs w:val="28"/>
        </w:rPr>
      </w:pPr>
    </w:p>
    <w:p w14:paraId="7CFAC206" w14:textId="77777777" w:rsidR="007000F7" w:rsidRPr="003522DA" w:rsidRDefault="00037076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037076">
        <w:rPr>
          <w:rFonts w:ascii="Times New Roman" w:hAnsi="Times New Roman"/>
          <w:b/>
          <w:szCs w:val="28"/>
        </w:rPr>
        <w:t>Торговое наименование</w:t>
      </w:r>
      <w:r w:rsidR="007000F7" w:rsidRPr="003522DA">
        <w:rPr>
          <w:rFonts w:ascii="Times New Roman" w:hAnsi="Times New Roman"/>
          <w:b/>
          <w:szCs w:val="28"/>
        </w:rPr>
        <w:t xml:space="preserve"> </w:t>
      </w:r>
    </w:p>
    <w:p w14:paraId="3AF2493B" w14:textId="77777777" w:rsidR="007000F7" w:rsidRPr="003522DA" w:rsidRDefault="00751C74" w:rsidP="0047616F">
      <w:pPr>
        <w:pStyle w:val="a3"/>
        <w:ind w:right="-2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Летродэй</w:t>
      </w:r>
      <w:proofErr w:type="spellEnd"/>
    </w:p>
    <w:p w14:paraId="7BF02962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b/>
          <w:szCs w:val="28"/>
          <w:lang w:val="pl-PL"/>
        </w:rPr>
      </w:pPr>
    </w:p>
    <w:p w14:paraId="47708358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3522DA">
        <w:rPr>
          <w:rFonts w:ascii="Times New Roman" w:hAnsi="Times New Roman"/>
          <w:b/>
          <w:szCs w:val="28"/>
        </w:rPr>
        <w:t xml:space="preserve">Международное непатентованное название </w:t>
      </w:r>
    </w:p>
    <w:p w14:paraId="426BB2CA" w14:textId="77777777" w:rsidR="007000F7" w:rsidRPr="003522DA" w:rsidRDefault="00D8003B" w:rsidP="0047616F">
      <w:pPr>
        <w:pStyle w:val="a3"/>
        <w:ind w:right="-2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Летрозол</w:t>
      </w:r>
      <w:proofErr w:type="spellEnd"/>
    </w:p>
    <w:p w14:paraId="38B6D7D5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5982E829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  <w:r w:rsidRPr="003522DA">
        <w:rPr>
          <w:rFonts w:ascii="Times New Roman" w:hAnsi="Times New Roman"/>
          <w:b/>
          <w:szCs w:val="28"/>
        </w:rPr>
        <w:t>Лекарственная форма</w:t>
      </w:r>
      <w:r w:rsidR="00037076">
        <w:rPr>
          <w:rFonts w:ascii="Times New Roman" w:hAnsi="Times New Roman"/>
          <w:b/>
          <w:szCs w:val="28"/>
        </w:rPr>
        <w:t>, дозировка</w:t>
      </w:r>
      <w:r w:rsidRPr="003522DA">
        <w:rPr>
          <w:rFonts w:ascii="Times New Roman" w:hAnsi="Times New Roman"/>
          <w:szCs w:val="28"/>
        </w:rPr>
        <w:t xml:space="preserve"> </w:t>
      </w:r>
    </w:p>
    <w:p w14:paraId="0E11484F" w14:textId="77777777" w:rsidR="007000F7" w:rsidRDefault="00C250BF" w:rsidP="0047616F">
      <w:pPr>
        <w:pStyle w:val="a3"/>
        <w:ind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Pr="00C250BF">
        <w:rPr>
          <w:rFonts w:ascii="Times New Roman" w:hAnsi="Times New Roman"/>
          <w:szCs w:val="28"/>
        </w:rPr>
        <w:t xml:space="preserve">аблетки, </w:t>
      </w:r>
      <w:r w:rsidR="00751C74">
        <w:rPr>
          <w:rFonts w:ascii="Times New Roman" w:hAnsi="Times New Roman"/>
          <w:szCs w:val="28"/>
        </w:rPr>
        <w:t>пок</w:t>
      </w:r>
      <w:r w:rsidR="00D8003B">
        <w:rPr>
          <w:rFonts w:ascii="Times New Roman" w:hAnsi="Times New Roman"/>
          <w:szCs w:val="28"/>
        </w:rPr>
        <w:t>рытые плёночной оболочкой, 2.5</w:t>
      </w:r>
      <w:r w:rsidR="00751C74">
        <w:rPr>
          <w:rFonts w:ascii="Times New Roman" w:hAnsi="Times New Roman"/>
          <w:szCs w:val="28"/>
        </w:rPr>
        <w:t xml:space="preserve"> мг</w:t>
      </w:r>
      <w:r>
        <w:rPr>
          <w:rFonts w:ascii="Times New Roman" w:hAnsi="Times New Roman"/>
          <w:szCs w:val="28"/>
        </w:rPr>
        <w:t xml:space="preserve">  </w:t>
      </w:r>
    </w:p>
    <w:p w14:paraId="480FC941" w14:textId="77777777" w:rsidR="00C250BF" w:rsidRDefault="00C250BF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20A89230" w14:textId="77777777" w:rsidR="00037076" w:rsidRPr="003522DA" w:rsidRDefault="00037076" w:rsidP="00037076">
      <w:pPr>
        <w:pStyle w:val="a3"/>
        <w:ind w:right="-2"/>
        <w:rPr>
          <w:rFonts w:ascii="Times New Roman" w:hAnsi="Times New Roman"/>
          <w:b/>
          <w:szCs w:val="28"/>
          <w:lang w:eastAsia="ko-KR"/>
        </w:rPr>
      </w:pPr>
      <w:r w:rsidRPr="003522DA">
        <w:rPr>
          <w:rFonts w:ascii="Times New Roman" w:hAnsi="Times New Roman"/>
          <w:b/>
          <w:szCs w:val="28"/>
        </w:rPr>
        <w:t>Ф</w:t>
      </w:r>
      <w:r w:rsidRPr="003522DA">
        <w:rPr>
          <w:rFonts w:ascii="Times New Roman" w:hAnsi="Times New Roman"/>
          <w:b/>
          <w:szCs w:val="28"/>
          <w:lang w:eastAsia="ko-KR"/>
        </w:rPr>
        <w:t xml:space="preserve">армакотерапевтическая группа </w:t>
      </w:r>
    </w:p>
    <w:p w14:paraId="7DFD1187" w14:textId="77777777" w:rsidR="00751C74" w:rsidRPr="00751C74" w:rsidRDefault="00751C74" w:rsidP="00751C74">
      <w:pPr>
        <w:jc w:val="both"/>
        <w:rPr>
          <w:sz w:val="20"/>
          <w:lang w:eastAsia="en-US"/>
        </w:rPr>
      </w:pPr>
      <w:proofErr w:type="spellStart"/>
      <w:r w:rsidRPr="00751C74">
        <w:rPr>
          <w:sz w:val="28"/>
          <w:szCs w:val="28"/>
          <w:lang w:eastAsia="en-US"/>
        </w:rPr>
        <w:t>Антинеопластические</w:t>
      </w:r>
      <w:proofErr w:type="spellEnd"/>
      <w:r w:rsidRPr="00751C74">
        <w:rPr>
          <w:sz w:val="28"/>
          <w:szCs w:val="28"/>
          <w:lang w:eastAsia="en-US"/>
        </w:rPr>
        <w:t xml:space="preserve"> и иммуномодулирующие препараты. Эндокринная терапия. Гормонов антагонисты и их аналоги. </w:t>
      </w:r>
      <w:r w:rsidR="00423F62">
        <w:rPr>
          <w:sz w:val="28"/>
          <w:szCs w:val="28"/>
          <w:lang w:eastAsia="en-US"/>
        </w:rPr>
        <w:t>Ароматазы</w:t>
      </w:r>
      <w:r w:rsidRPr="00751C74">
        <w:rPr>
          <w:sz w:val="28"/>
          <w:szCs w:val="28"/>
          <w:lang w:eastAsia="en-US"/>
        </w:rPr>
        <w:t xml:space="preserve"> ингибиторы. </w:t>
      </w:r>
      <w:proofErr w:type="spellStart"/>
      <w:r w:rsidRPr="00751C74">
        <w:rPr>
          <w:sz w:val="28"/>
          <w:szCs w:val="28"/>
          <w:lang w:eastAsia="en-US"/>
        </w:rPr>
        <w:t>Летрозол</w:t>
      </w:r>
      <w:proofErr w:type="spellEnd"/>
      <w:r w:rsidRPr="00751C74">
        <w:rPr>
          <w:sz w:val="20"/>
          <w:lang w:eastAsia="en-US"/>
        </w:rPr>
        <w:t>.</w:t>
      </w:r>
    </w:p>
    <w:p w14:paraId="70965CEE" w14:textId="77777777" w:rsidR="00751C74" w:rsidRPr="00751C74" w:rsidRDefault="00751C74" w:rsidP="00751C74">
      <w:pPr>
        <w:jc w:val="both"/>
        <w:rPr>
          <w:b/>
          <w:sz w:val="28"/>
          <w:lang w:eastAsia="en-US"/>
        </w:rPr>
      </w:pPr>
      <w:r w:rsidRPr="00751C74">
        <w:rPr>
          <w:sz w:val="28"/>
          <w:lang w:eastAsia="en-US"/>
        </w:rPr>
        <w:t>Код ATХ L02BG04</w:t>
      </w:r>
    </w:p>
    <w:p w14:paraId="5377FE16" w14:textId="77777777" w:rsidR="00626322" w:rsidRDefault="00626322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</w:p>
    <w:p w14:paraId="3D5B73ED" w14:textId="77777777" w:rsidR="00650AC7" w:rsidRPr="0047616F" w:rsidRDefault="00650AC7" w:rsidP="00650A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7616F">
        <w:rPr>
          <w:b/>
          <w:bCs/>
          <w:color w:val="000000"/>
          <w:spacing w:val="-3"/>
          <w:sz w:val="28"/>
          <w:szCs w:val="28"/>
        </w:rPr>
        <w:t>Показания к применению</w:t>
      </w:r>
    </w:p>
    <w:p w14:paraId="787B0E15" w14:textId="77777777" w:rsidR="005B47CF" w:rsidRPr="005B47CF" w:rsidRDefault="005B47CF" w:rsidP="002270DC">
      <w:pPr>
        <w:numPr>
          <w:ilvl w:val="0"/>
          <w:numId w:val="9"/>
        </w:numPr>
        <w:ind w:left="0" w:right="283" w:hanging="284"/>
        <w:jc w:val="both"/>
        <w:rPr>
          <w:sz w:val="28"/>
          <w:szCs w:val="28"/>
        </w:rPr>
      </w:pPr>
      <w:proofErr w:type="spellStart"/>
      <w:r w:rsidRPr="005B47CF">
        <w:rPr>
          <w:sz w:val="28"/>
          <w:szCs w:val="28"/>
        </w:rPr>
        <w:t>адъювантная</w:t>
      </w:r>
      <w:proofErr w:type="spellEnd"/>
      <w:r w:rsidRPr="005B47CF">
        <w:rPr>
          <w:sz w:val="28"/>
          <w:szCs w:val="28"/>
        </w:rPr>
        <w:t xml:space="preserve"> терапия рака молочной железы у женщин в постменопаузе, с </w:t>
      </w:r>
      <w:proofErr w:type="spellStart"/>
      <w:r w:rsidRPr="005B47CF">
        <w:rPr>
          <w:sz w:val="28"/>
          <w:szCs w:val="28"/>
        </w:rPr>
        <w:t>гормоно</w:t>
      </w:r>
      <w:proofErr w:type="spellEnd"/>
      <w:r w:rsidRPr="005B47CF">
        <w:rPr>
          <w:sz w:val="28"/>
          <w:szCs w:val="28"/>
        </w:rPr>
        <w:t xml:space="preserve">-позитивным ранним инвазивным раком молочной железы </w:t>
      </w:r>
    </w:p>
    <w:p w14:paraId="23D8244E" w14:textId="77777777" w:rsidR="005B47CF" w:rsidRPr="005B47CF" w:rsidRDefault="005B47CF" w:rsidP="002270DC">
      <w:pPr>
        <w:numPr>
          <w:ilvl w:val="0"/>
          <w:numId w:val="9"/>
        </w:numPr>
        <w:ind w:left="0" w:right="283" w:hanging="284"/>
        <w:jc w:val="both"/>
        <w:rPr>
          <w:sz w:val="28"/>
          <w:szCs w:val="28"/>
        </w:rPr>
      </w:pPr>
      <w:r w:rsidRPr="005B47CF">
        <w:rPr>
          <w:sz w:val="28"/>
          <w:szCs w:val="28"/>
        </w:rPr>
        <w:t xml:space="preserve">продолжение </w:t>
      </w:r>
      <w:proofErr w:type="spellStart"/>
      <w:r w:rsidRPr="005B47CF">
        <w:rPr>
          <w:sz w:val="28"/>
          <w:szCs w:val="28"/>
        </w:rPr>
        <w:t>адъювантной</w:t>
      </w:r>
      <w:proofErr w:type="spellEnd"/>
      <w:r w:rsidRPr="005B47CF">
        <w:rPr>
          <w:sz w:val="28"/>
          <w:szCs w:val="28"/>
        </w:rPr>
        <w:t xml:space="preserve"> </w:t>
      </w:r>
      <w:r w:rsidR="00801549" w:rsidRPr="005B47CF">
        <w:rPr>
          <w:sz w:val="28"/>
          <w:szCs w:val="28"/>
        </w:rPr>
        <w:t>терапии у</w:t>
      </w:r>
      <w:r w:rsidRPr="005B47CF">
        <w:rPr>
          <w:sz w:val="28"/>
          <w:szCs w:val="28"/>
        </w:rPr>
        <w:t xml:space="preserve"> женщин в постменопаузе с </w:t>
      </w:r>
      <w:proofErr w:type="spellStart"/>
      <w:r w:rsidRPr="005B47CF">
        <w:rPr>
          <w:sz w:val="28"/>
          <w:szCs w:val="28"/>
        </w:rPr>
        <w:t>гормоно</w:t>
      </w:r>
      <w:proofErr w:type="spellEnd"/>
      <w:r w:rsidRPr="005B47CF">
        <w:rPr>
          <w:sz w:val="28"/>
          <w:szCs w:val="28"/>
        </w:rPr>
        <w:t xml:space="preserve">-позитивным ранним инвазивным раком молочной железы, предварительно получавших стандартную </w:t>
      </w:r>
      <w:proofErr w:type="spellStart"/>
      <w:r w:rsidRPr="005B47CF">
        <w:rPr>
          <w:sz w:val="28"/>
          <w:szCs w:val="28"/>
        </w:rPr>
        <w:t>адъювантную</w:t>
      </w:r>
      <w:proofErr w:type="spellEnd"/>
      <w:r w:rsidRPr="005B47CF">
        <w:rPr>
          <w:sz w:val="28"/>
          <w:szCs w:val="28"/>
        </w:rPr>
        <w:t xml:space="preserve"> терапию тамоксифеном в течение 5 лет</w:t>
      </w:r>
    </w:p>
    <w:p w14:paraId="35F594BC" w14:textId="77777777" w:rsidR="005B47CF" w:rsidRPr="005B47CF" w:rsidRDefault="005B47CF" w:rsidP="002270DC">
      <w:pPr>
        <w:numPr>
          <w:ilvl w:val="0"/>
          <w:numId w:val="10"/>
        </w:numPr>
        <w:ind w:left="0" w:right="283" w:hanging="284"/>
        <w:jc w:val="both"/>
        <w:rPr>
          <w:sz w:val="28"/>
          <w:szCs w:val="28"/>
        </w:rPr>
      </w:pPr>
      <w:r w:rsidRPr="005B47CF">
        <w:rPr>
          <w:sz w:val="28"/>
          <w:szCs w:val="28"/>
        </w:rPr>
        <w:t xml:space="preserve">терапия первой линии у женщин в постменопаузе с </w:t>
      </w:r>
      <w:proofErr w:type="spellStart"/>
      <w:r w:rsidRPr="005B47CF">
        <w:rPr>
          <w:sz w:val="28"/>
          <w:szCs w:val="28"/>
        </w:rPr>
        <w:t>гормоно</w:t>
      </w:r>
      <w:proofErr w:type="spellEnd"/>
      <w:r w:rsidRPr="005B47CF">
        <w:rPr>
          <w:sz w:val="28"/>
          <w:szCs w:val="28"/>
        </w:rPr>
        <w:t>-позитивным раком молочной железы</w:t>
      </w:r>
    </w:p>
    <w:p w14:paraId="2957C651" w14:textId="77777777" w:rsidR="005B47CF" w:rsidRPr="005B47CF" w:rsidRDefault="005B47CF" w:rsidP="002270DC">
      <w:pPr>
        <w:numPr>
          <w:ilvl w:val="0"/>
          <w:numId w:val="10"/>
        </w:numPr>
        <w:ind w:left="0" w:right="283" w:hanging="284"/>
        <w:jc w:val="both"/>
        <w:rPr>
          <w:sz w:val="28"/>
          <w:szCs w:val="28"/>
        </w:rPr>
      </w:pPr>
      <w:r w:rsidRPr="005B47CF">
        <w:rPr>
          <w:sz w:val="28"/>
          <w:szCs w:val="28"/>
        </w:rPr>
        <w:t xml:space="preserve">распространенный рак молочной железы после рецидива или прогрессирования у женщин в постменопаузе (естественной или вызванной искусственно), получавших предшествующую терапию </w:t>
      </w:r>
      <w:proofErr w:type="spellStart"/>
      <w:r w:rsidRPr="005B47CF">
        <w:rPr>
          <w:sz w:val="28"/>
          <w:szCs w:val="28"/>
        </w:rPr>
        <w:t>антиэстрогенами</w:t>
      </w:r>
      <w:proofErr w:type="spellEnd"/>
    </w:p>
    <w:p w14:paraId="275FD8FC" w14:textId="77777777" w:rsidR="005B47CF" w:rsidRPr="005B47CF" w:rsidRDefault="005B47CF" w:rsidP="002270DC">
      <w:pPr>
        <w:numPr>
          <w:ilvl w:val="0"/>
          <w:numId w:val="10"/>
        </w:numPr>
        <w:ind w:left="0" w:right="283" w:hanging="284"/>
        <w:jc w:val="both"/>
        <w:rPr>
          <w:sz w:val="28"/>
          <w:szCs w:val="28"/>
        </w:rPr>
      </w:pPr>
      <w:proofErr w:type="spellStart"/>
      <w:r w:rsidRPr="005B47CF">
        <w:rPr>
          <w:sz w:val="28"/>
          <w:szCs w:val="28"/>
        </w:rPr>
        <w:t>неоадьювантная</w:t>
      </w:r>
      <w:proofErr w:type="spellEnd"/>
      <w:r w:rsidRPr="005B47CF">
        <w:rPr>
          <w:sz w:val="28"/>
          <w:szCs w:val="28"/>
        </w:rPr>
        <w:t xml:space="preserve"> терапия у женщин в постменопаузе с </w:t>
      </w:r>
      <w:proofErr w:type="spellStart"/>
      <w:r w:rsidRPr="005B47CF">
        <w:rPr>
          <w:sz w:val="28"/>
          <w:szCs w:val="28"/>
        </w:rPr>
        <w:t>гормоно</w:t>
      </w:r>
      <w:proofErr w:type="spellEnd"/>
      <w:r w:rsidRPr="005B47CF">
        <w:rPr>
          <w:sz w:val="28"/>
          <w:szCs w:val="28"/>
        </w:rPr>
        <w:t xml:space="preserve">-позитивным, </w:t>
      </w:r>
      <w:r w:rsidRPr="005B47CF">
        <w:rPr>
          <w:sz w:val="28"/>
          <w:szCs w:val="28"/>
          <w:lang w:val="en-US"/>
        </w:rPr>
        <w:t>HER</w:t>
      </w:r>
      <w:r w:rsidRPr="005B47CF">
        <w:rPr>
          <w:sz w:val="28"/>
          <w:szCs w:val="28"/>
        </w:rPr>
        <w:t>-2 негативным раком молочной железы, когда химиотерапия не является подходящей терапией и немедленное оперативное вмешательство не показано</w:t>
      </w:r>
    </w:p>
    <w:p w14:paraId="231400EF" w14:textId="77777777" w:rsidR="005B47CF" w:rsidRPr="005B47CF" w:rsidRDefault="005B47CF" w:rsidP="005B47CF">
      <w:pPr>
        <w:ind w:right="283"/>
        <w:jc w:val="both"/>
        <w:rPr>
          <w:sz w:val="28"/>
          <w:szCs w:val="28"/>
        </w:rPr>
      </w:pPr>
      <w:r w:rsidRPr="005B47CF">
        <w:rPr>
          <w:sz w:val="28"/>
          <w:szCs w:val="28"/>
        </w:rPr>
        <w:lastRenderedPageBreak/>
        <w:t>Эффективность препарата у пациенток с раком молочной железы, не содержащим гормональных рецепторов, не продемонстрирована.</w:t>
      </w:r>
    </w:p>
    <w:p w14:paraId="51748BF1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  <w:r w:rsidRPr="00650AC7">
        <w:rPr>
          <w:b/>
          <w:bCs/>
          <w:color w:val="000000"/>
          <w:spacing w:val="-3"/>
          <w:sz w:val="28"/>
          <w:szCs w:val="28"/>
        </w:rPr>
        <w:t>Перечень сведений, необходимых до начала применения</w:t>
      </w:r>
    </w:p>
    <w:p w14:paraId="7F298273" w14:textId="77777777" w:rsidR="00650AC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650AC7">
        <w:rPr>
          <w:b/>
          <w:bCs/>
          <w:i/>
          <w:color w:val="000000"/>
          <w:spacing w:val="-3"/>
          <w:sz w:val="28"/>
          <w:szCs w:val="28"/>
        </w:rPr>
        <w:t>Противопоказания</w:t>
      </w:r>
    </w:p>
    <w:p w14:paraId="767E772D" w14:textId="77777777" w:rsidR="00884DE6" w:rsidRPr="00884DE6" w:rsidRDefault="00884DE6" w:rsidP="00884D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884DE6">
        <w:rPr>
          <w:bCs/>
          <w:color w:val="000000"/>
          <w:spacing w:val="-3"/>
          <w:sz w:val="28"/>
          <w:szCs w:val="28"/>
        </w:rPr>
        <w:t xml:space="preserve">- гиперчувствительность к </w:t>
      </w:r>
      <w:bookmarkStart w:id="0" w:name="_Hlk37242308"/>
      <w:r w:rsidRPr="00884DE6">
        <w:rPr>
          <w:bCs/>
          <w:color w:val="000000"/>
          <w:spacing w:val="-3"/>
          <w:sz w:val="28"/>
          <w:szCs w:val="28"/>
        </w:rPr>
        <w:t xml:space="preserve">активному </w:t>
      </w:r>
      <w:bookmarkStart w:id="1" w:name="_Hlk25933134"/>
      <w:bookmarkEnd w:id="0"/>
      <w:r w:rsidRPr="00884DE6">
        <w:rPr>
          <w:bCs/>
          <w:color w:val="000000"/>
          <w:spacing w:val="-3"/>
          <w:sz w:val="28"/>
          <w:szCs w:val="28"/>
        </w:rPr>
        <w:t xml:space="preserve">веществу или к любому из вспомогательных веществ, перечисленных в разделе </w:t>
      </w:r>
      <w:r>
        <w:rPr>
          <w:bCs/>
          <w:color w:val="000000"/>
          <w:spacing w:val="-3"/>
          <w:sz w:val="28"/>
          <w:szCs w:val="28"/>
        </w:rPr>
        <w:t>«Состав»</w:t>
      </w:r>
    </w:p>
    <w:bookmarkEnd w:id="1"/>
    <w:p w14:paraId="6CAEEDDC" w14:textId="77777777" w:rsidR="00884DE6" w:rsidRPr="00884DE6" w:rsidRDefault="00884DE6" w:rsidP="00884D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884DE6">
        <w:rPr>
          <w:bCs/>
          <w:color w:val="000000"/>
          <w:spacing w:val="-3"/>
          <w:sz w:val="28"/>
          <w:szCs w:val="28"/>
        </w:rPr>
        <w:t xml:space="preserve">- эндокринный статус, характерный для </w:t>
      </w:r>
      <w:proofErr w:type="spellStart"/>
      <w:r w:rsidRPr="00884DE6">
        <w:rPr>
          <w:bCs/>
          <w:color w:val="000000"/>
          <w:spacing w:val="-3"/>
          <w:sz w:val="28"/>
          <w:szCs w:val="28"/>
        </w:rPr>
        <w:t>пременопаузы</w:t>
      </w:r>
      <w:proofErr w:type="spellEnd"/>
    </w:p>
    <w:p w14:paraId="0DE7FC26" w14:textId="77777777" w:rsidR="00884DE6" w:rsidRDefault="00884DE6" w:rsidP="00884D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884DE6">
        <w:rPr>
          <w:bCs/>
          <w:color w:val="000000"/>
          <w:spacing w:val="-3"/>
          <w:sz w:val="28"/>
          <w:szCs w:val="28"/>
        </w:rPr>
        <w:t>- беременность и период лактации</w:t>
      </w:r>
    </w:p>
    <w:p w14:paraId="17C0EE96" w14:textId="77777777" w:rsidR="00F52551" w:rsidRPr="00F52551" w:rsidRDefault="00F52551" w:rsidP="00F52551">
      <w:pPr>
        <w:autoSpaceDE w:val="0"/>
        <w:autoSpaceDN w:val="0"/>
        <w:adjustRightInd w:val="0"/>
        <w:ind w:right="283"/>
        <w:jc w:val="both"/>
        <w:rPr>
          <w:snapToGrid w:val="0"/>
          <w:sz w:val="28"/>
          <w:szCs w:val="28"/>
        </w:rPr>
      </w:pPr>
      <w:r w:rsidRPr="00F52551">
        <w:rPr>
          <w:snapToGrid w:val="0"/>
          <w:sz w:val="28"/>
          <w:szCs w:val="28"/>
        </w:rPr>
        <w:t xml:space="preserve">- </w:t>
      </w:r>
      <w:r w:rsidRPr="00F52551">
        <w:rPr>
          <w:sz w:val="28"/>
          <w:szCs w:val="28"/>
        </w:rPr>
        <w:t xml:space="preserve">лицам с наследственной непереносимостью галактозы, дефицитом фермента </w:t>
      </w:r>
      <w:proofErr w:type="spellStart"/>
      <w:r w:rsidRPr="00F52551">
        <w:rPr>
          <w:sz w:val="28"/>
          <w:szCs w:val="28"/>
        </w:rPr>
        <w:t>Lapp</w:t>
      </w:r>
      <w:proofErr w:type="spellEnd"/>
      <w:r w:rsidRPr="00F52551">
        <w:rPr>
          <w:sz w:val="28"/>
          <w:szCs w:val="28"/>
        </w:rPr>
        <w:t xml:space="preserve"> (ЛАПП)-</w:t>
      </w:r>
      <w:proofErr w:type="spellStart"/>
      <w:r w:rsidRPr="00F52551">
        <w:rPr>
          <w:sz w:val="28"/>
          <w:szCs w:val="28"/>
        </w:rPr>
        <w:t>лактазы</w:t>
      </w:r>
      <w:proofErr w:type="spellEnd"/>
      <w:r w:rsidRPr="00F52551">
        <w:rPr>
          <w:sz w:val="28"/>
          <w:szCs w:val="28"/>
        </w:rPr>
        <w:t xml:space="preserve">, </w:t>
      </w:r>
      <w:proofErr w:type="spellStart"/>
      <w:r w:rsidRPr="00F52551">
        <w:rPr>
          <w:sz w:val="28"/>
          <w:szCs w:val="28"/>
        </w:rPr>
        <w:t>мальабсорбцией</w:t>
      </w:r>
      <w:proofErr w:type="spellEnd"/>
      <w:r w:rsidRPr="00F52551">
        <w:rPr>
          <w:sz w:val="28"/>
          <w:szCs w:val="28"/>
        </w:rPr>
        <w:t xml:space="preserve"> глюкозы-галактозы</w:t>
      </w:r>
    </w:p>
    <w:p w14:paraId="5F8DAD7B" w14:textId="77777777" w:rsidR="00650AC7" w:rsidRPr="00A35DF3" w:rsidRDefault="00F037A7" w:rsidP="00DA74C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A35DF3">
        <w:rPr>
          <w:b/>
          <w:bCs/>
          <w:i/>
          <w:color w:val="000000"/>
          <w:spacing w:val="-3"/>
          <w:sz w:val="28"/>
          <w:szCs w:val="28"/>
        </w:rPr>
        <w:t>Взаимодействия с другими лекарственными препаратами</w:t>
      </w:r>
    </w:p>
    <w:p w14:paraId="59454257" w14:textId="77777777" w:rsidR="00C258AC" w:rsidRPr="00C258AC" w:rsidRDefault="00C258AC" w:rsidP="00C258AC">
      <w:pPr>
        <w:ind w:right="-1"/>
        <w:jc w:val="both"/>
        <w:rPr>
          <w:snapToGrid w:val="0"/>
          <w:sz w:val="28"/>
          <w:szCs w:val="28"/>
        </w:rPr>
      </w:pPr>
      <w:proofErr w:type="spellStart"/>
      <w:r w:rsidRPr="00C258AC">
        <w:rPr>
          <w:snapToGrid w:val="0"/>
          <w:sz w:val="28"/>
          <w:szCs w:val="28"/>
        </w:rPr>
        <w:t>Летрозол</w:t>
      </w:r>
      <w:proofErr w:type="spellEnd"/>
      <w:r w:rsidRPr="00C258AC">
        <w:rPr>
          <w:snapToGrid w:val="0"/>
          <w:sz w:val="28"/>
          <w:szCs w:val="28"/>
        </w:rPr>
        <w:t xml:space="preserve"> в значительной степени подвергается метаболизму под действием изоферментов CYP2A6 и CYP3A4. </w:t>
      </w:r>
      <w:proofErr w:type="spellStart"/>
      <w:r w:rsidRPr="00C258AC">
        <w:rPr>
          <w:snapToGrid w:val="0"/>
          <w:sz w:val="28"/>
          <w:szCs w:val="28"/>
        </w:rPr>
        <w:t>Циметидин</w:t>
      </w:r>
      <w:proofErr w:type="spellEnd"/>
      <w:r w:rsidRPr="00C258AC">
        <w:rPr>
          <w:snapToGrid w:val="0"/>
          <w:sz w:val="28"/>
          <w:szCs w:val="28"/>
        </w:rPr>
        <w:t xml:space="preserve"> как слабый, неспецифический ингибитор цитохромов CYP450 не оказывал влияния на уровни </w:t>
      </w:r>
      <w:proofErr w:type="spellStart"/>
      <w:r w:rsidRPr="00C258AC">
        <w:rPr>
          <w:snapToGrid w:val="0"/>
          <w:sz w:val="28"/>
          <w:szCs w:val="28"/>
        </w:rPr>
        <w:t>летрозола</w:t>
      </w:r>
      <w:proofErr w:type="spellEnd"/>
      <w:r w:rsidRPr="00C258AC">
        <w:rPr>
          <w:snapToGrid w:val="0"/>
          <w:sz w:val="28"/>
          <w:szCs w:val="28"/>
        </w:rPr>
        <w:t xml:space="preserve"> в плазме. Эффект мощных ингибиторов цитохромов CYP450 неизвестен.</w:t>
      </w:r>
    </w:p>
    <w:p w14:paraId="510EEAB5" w14:textId="77777777" w:rsidR="00C258AC" w:rsidRPr="00C258AC" w:rsidRDefault="00C258AC" w:rsidP="00C258AC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C258AC">
        <w:rPr>
          <w:snapToGrid w:val="0"/>
          <w:sz w:val="28"/>
          <w:szCs w:val="28"/>
        </w:rPr>
        <w:t xml:space="preserve">К настоящему времени отсутствует клинический опыт применения </w:t>
      </w:r>
      <w:proofErr w:type="spellStart"/>
      <w:r w:rsidRPr="00C258AC">
        <w:rPr>
          <w:snapToGrid w:val="0"/>
          <w:sz w:val="28"/>
          <w:szCs w:val="28"/>
        </w:rPr>
        <w:t>летрозола</w:t>
      </w:r>
      <w:proofErr w:type="spellEnd"/>
      <w:r w:rsidRPr="00C258AC">
        <w:rPr>
          <w:snapToGrid w:val="0"/>
          <w:sz w:val="28"/>
          <w:szCs w:val="28"/>
        </w:rPr>
        <w:t xml:space="preserve"> в сочетании с другими противоопухолевыми препаратами.</w:t>
      </w:r>
    </w:p>
    <w:p w14:paraId="444EF932" w14:textId="77777777" w:rsidR="00C258AC" w:rsidRPr="00C258AC" w:rsidRDefault="00C258AC" w:rsidP="00C258AC">
      <w:pPr>
        <w:ind w:right="-1"/>
        <w:jc w:val="both"/>
        <w:rPr>
          <w:snapToGrid w:val="0"/>
          <w:sz w:val="28"/>
          <w:szCs w:val="28"/>
        </w:rPr>
      </w:pPr>
      <w:r w:rsidRPr="00C258AC">
        <w:rPr>
          <w:snapToGrid w:val="0"/>
          <w:sz w:val="28"/>
          <w:szCs w:val="28"/>
        </w:rPr>
        <w:t xml:space="preserve">Клинически значимых взаимодействий препарата </w:t>
      </w:r>
      <w:proofErr w:type="spellStart"/>
      <w:r w:rsidRPr="00C258AC">
        <w:rPr>
          <w:snapToGrid w:val="0"/>
          <w:sz w:val="28"/>
          <w:szCs w:val="28"/>
        </w:rPr>
        <w:t>Летродэй</w:t>
      </w:r>
      <w:proofErr w:type="spellEnd"/>
      <w:r w:rsidRPr="00C258AC">
        <w:rPr>
          <w:snapToGrid w:val="0"/>
          <w:sz w:val="28"/>
          <w:szCs w:val="28"/>
        </w:rPr>
        <w:t xml:space="preserve"> с другими часто применяемыми препаратами отмечено не было. </w:t>
      </w:r>
    </w:p>
    <w:p w14:paraId="24BACC08" w14:textId="77777777" w:rsidR="00C258AC" w:rsidRPr="00C258AC" w:rsidRDefault="00C258AC" w:rsidP="00C258AC">
      <w:pPr>
        <w:ind w:right="-1"/>
        <w:jc w:val="both"/>
        <w:rPr>
          <w:snapToGrid w:val="0"/>
          <w:sz w:val="28"/>
          <w:szCs w:val="28"/>
        </w:rPr>
      </w:pPr>
      <w:r w:rsidRPr="00C258AC">
        <w:rPr>
          <w:snapToGrid w:val="0"/>
          <w:sz w:val="28"/>
          <w:szCs w:val="28"/>
        </w:rPr>
        <w:t xml:space="preserve">Тамоксифен, другие </w:t>
      </w:r>
      <w:proofErr w:type="spellStart"/>
      <w:r w:rsidRPr="00C258AC">
        <w:rPr>
          <w:snapToGrid w:val="0"/>
          <w:sz w:val="28"/>
          <w:szCs w:val="28"/>
        </w:rPr>
        <w:t>антиэстрогены</w:t>
      </w:r>
      <w:proofErr w:type="spellEnd"/>
      <w:r w:rsidRPr="00C258AC">
        <w:rPr>
          <w:snapToGrid w:val="0"/>
          <w:sz w:val="28"/>
          <w:szCs w:val="28"/>
        </w:rPr>
        <w:t xml:space="preserve"> или эстроген-содержащие препараты, могут понизить фармакологическую активность </w:t>
      </w:r>
      <w:proofErr w:type="spellStart"/>
      <w:r w:rsidRPr="00C258AC">
        <w:rPr>
          <w:snapToGrid w:val="0"/>
          <w:sz w:val="28"/>
          <w:szCs w:val="28"/>
        </w:rPr>
        <w:t>летрозола</w:t>
      </w:r>
      <w:proofErr w:type="spellEnd"/>
      <w:r w:rsidRPr="00C258AC">
        <w:rPr>
          <w:snapToGrid w:val="0"/>
          <w:sz w:val="28"/>
          <w:szCs w:val="28"/>
        </w:rPr>
        <w:t xml:space="preserve">. Кроме того, было показано, что комбинирование тамоксифена с </w:t>
      </w:r>
      <w:proofErr w:type="spellStart"/>
      <w:r w:rsidRPr="00C258AC">
        <w:rPr>
          <w:snapToGrid w:val="0"/>
          <w:sz w:val="28"/>
          <w:szCs w:val="28"/>
        </w:rPr>
        <w:t>летрозолом</w:t>
      </w:r>
      <w:proofErr w:type="spellEnd"/>
      <w:r w:rsidRPr="00C258AC">
        <w:rPr>
          <w:snapToGrid w:val="0"/>
          <w:sz w:val="28"/>
          <w:szCs w:val="28"/>
        </w:rPr>
        <w:t xml:space="preserve"> значительно понижает уровень </w:t>
      </w:r>
      <w:proofErr w:type="spellStart"/>
      <w:r w:rsidRPr="00C258AC">
        <w:rPr>
          <w:snapToGrid w:val="0"/>
          <w:sz w:val="28"/>
          <w:szCs w:val="28"/>
        </w:rPr>
        <w:t>летрозола</w:t>
      </w:r>
      <w:proofErr w:type="spellEnd"/>
      <w:r w:rsidRPr="00C258AC">
        <w:rPr>
          <w:snapToGrid w:val="0"/>
          <w:sz w:val="28"/>
          <w:szCs w:val="28"/>
        </w:rPr>
        <w:t xml:space="preserve"> в плазме. Таким образом, следует избегать комбинации </w:t>
      </w:r>
      <w:proofErr w:type="spellStart"/>
      <w:r w:rsidRPr="00C258AC">
        <w:rPr>
          <w:snapToGrid w:val="0"/>
          <w:sz w:val="28"/>
          <w:szCs w:val="28"/>
        </w:rPr>
        <w:t>летрозола</w:t>
      </w:r>
      <w:proofErr w:type="spellEnd"/>
      <w:r w:rsidRPr="00C258AC">
        <w:rPr>
          <w:snapToGrid w:val="0"/>
          <w:sz w:val="28"/>
          <w:szCs w:val="28"/>
        </w:rPr>
        <w:t xml:space="preserve"> с</w:t>
      </w:r>
      <w:r w:rsidRPr="00C258AC">
        <w:rPr>
          <w:rFonts w:eastAsia="TimesNewRoman"/>
          <w:sz w:val="28"/>
          <w:szCs w:val="28"/>
        </w:rPr>
        <w:t xml:space="preserve"> </w:t>
      </w:r>
      <w:r w:rsidRPr="00C258AC">
        <w:rPr>
          <w:snapToGrid w:val="0"/>
          <w:sz w:val="28"/>
          <w:szCs w:val="28"/>
        </w:rPr>
        <w:t>тамоксифеном, другими анти-эстрогенами или эстрогенными препаратами.</w:t>
      </w:r>
    </w:p>
    <w:p w14:paraId="2D3212B8" w14:textId="77777777" w:rsidR="00C258AC" w:rsidRPr="00C258AC" w:rsidRDefault="00C258AC" w:rsidP="00C258AC">
      <w:pPr>
        <w:ind w:right="-1"/>
        <w:jc w:val="both"/>
        <w:rPr>
          <w:snapToGrid w:val="0"/>
          <w:sz w:val="28"/>
          <w:szCs w:val="28"/>
        </w:rPr>
      </w:pPr>
      <w:proofErr w:type="spellStart"/>
      <w:r w:rsidRPr="00C258AC">
        <w:rPr>
          <w:i/>
          <w:snapToGrid w:val="0"/>
          <w:sz w:val="28"/>
          <w:szCs w:val="28"/>
        </w:rPr>
        <w:t>In</w:t>
      </w:r>
      <w:proofErr w:type="spellEnd"/>
      <w:r w:rsidRPr="00C258AC">
        <w:rPr>
          <w:i/>
          <w:snapToGrid w:val="0"/>
          <w:sz w:val="28"/>
          <w:szCs w:val="28"/>
        </w:rPr>
        <w:t xml:space="preserve"> </w:t>
      </w:r>
      <w:proofErr w:type="spellStart"/>
      <w:r w:rsidRPr="00C258AC">
        <w:rPr>
          <w:i/>
          <w:snapToGrid w:val="0"/>
          <w:sz w:val="28"/>
          <w:szCs w:val="28"/>
        </w:rPr>
        <w:t>vitro</w:t>
      </w:r>
      <w:proofErr w:type="spellEnd"/>
      <w:r w:rsidRPr="00C258AC">
        <w:rPr>
          <w:snapToGrid w:val="0"/>
          <w:sz w:val="28"/>
          <w:szCs w:val="28"/>
        </w:rPr>
        <w:t xml:space="preserve"> </w:t>
      </w:r>
      <w:proofErr w:type="spellStart"/>
      <w:r w:rsidRPr="00C258AC">
        <w:rPr>
          <w:snapToGrid w:val="0"/>
          <w:sz w:val="28"/>
          <w:szCs w:val="28"/>
        </w:rPr>
        <w:t>летрозол</w:t>
      </w:r>
      <w:proofErr w:type="spellEnd"/>
      <w:r w:rsidRPr="00C258AC">
        <w:rPr>
          <w:snapToGrid w:val="0"/>
          <w:sz w:val="28"/>
          <w:szCs w:val="28"/>
        </w:rPr>
        <w:t xml:space="preserve"> подавляет активность изоферментов цитохрома Р450 2А6 и 2С19 (причем последнего – умеренно), однако клиническая значимость этого неизвестна. Поэтому, следует соблюдать осторожность при совместном применении </w:t>
      </w:r>
      <w:proofErr w:type="spellStart"/>
      <w:r w:rsidRPr="00C258AC">
        <w:rPr>
          <w:snapToGrid w:val="0"/>
          <w:sz w:val="28"/>
          <w:szCs w:val="28"/>
        </w:rPr>
        <w:t>летрозола</w:t>
      </w:r>
      <w:proofErr w:type="spellEnd"/>
      <w:r w:rsidRPr="00C258AC">
        <w:rPr>
          <w:snapToGrid w:val="0"/>
          <w:sz w:val="28"/>
          <w:szCs w:val="28"/>
        </w:rPr>
        <w:t xml:space="preserve"> с препаратами, метаболизм которых в основном зависит от этих изоферментов, и которые имеют узкий терапевтический индекс (например, фенитоин, </w:t>
      </w:r>
      <w:proofErr w:type="spellStart"/>
      <w:r w:rsidRPr="00C258AC">
        <w:rPr>
          <w:snapToGrid w:val="0"/>
          <w:sz w:val="28"/>
          <w:szCs w:val="28"/>
        </w:rPr>
        <w:t>клопидогрел</w:t>
      </w:r>
      <w:proofErr w:type="spellEnd"/>
      <w:r w:rsidRPr="00C258AC">
        <w:rPr>
          <w:snapToGrid w:val="0"/>
          <w:sz w:val="28"/>
          <w:szCs w:val="28"/>
        </w:rPr>
        <w:t>).</w:t>
      </w:r>
    </w:p>
    <w:p w14:paraId="7504DF14" w14:textId="77777777" w:rsidR="00F037A7" w:rsidRPr="00F037A7" w:rsidRDefault="00F037A7" w:rsidP="00EC0A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Специальные предупреждения</w:t>
      </w:r>
    </w:p>
    <w:p w14:paraId="56EEF1FC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DD5919">
        <w:rPr>
          <w:i/>
          <w:iCs/>
          <w:snapToGrid w:val="0"/>
          <w:sz w:val="28"/>
          <w:szCs w:val="28"/>
        </w:rPr>
        <w:t>Статус менопаузы</w:t>
      </w:r>
      <w:r w:rsidRPr="00DD5919">
        <w:rPr>
          <w:snapToGrid w:val="0"/>
          <w:sz w:val="28"/>
          <w:szCs w:val="28"/>
        </w:rPr>
        <w:t xml:space="preserve"> </w:t>
      </w:r>
    </w:p>
    <w:p w14:paraId="27C623CB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DD5919">
        <w:rPr>
          <w:snapToGrid w:val="0"/>
          <w:sz w:val="28"/>
          <w:szCs w:val="28"/>
        </w:rPr>
        <w:t xml:space="preserve">У пациенток с невыясненным статусом постменопаузы следует определить уровни ЛГ, ФСГ и/или эстрадиола до начала лечения с целью точного установления статуса менопаузы. </w:t>
      </w:r>
      <w:bookmarkStart w:id="2" w:name="_Hlk56074237"/>
      <w:proofErr w:type="spellStart"/>
      <w:r w:rsidRPr="00DD5919">
        <w:rPr>
          <w:snapToGrid w:val="0"/>
          <w:sz w:val="28"/>
          <w:szCs w:val="28"/>
        </w:rPr>
        <w:t>Летродэй</w:t>
      </w:r>
      <w:bookmarkEnd w:id="2"/>
      <w:proofErr w:type="spellEnd"/>
      <w:r w:rsidRPr="00DD5919">
        <w:rPr>
          <w:snapToGrid w:val="0"/>
          <w:sz w:val="28"/>
          <w:szCs w:val="28"/>
        </w:rPr>
        <w:t xml:space="preserve"> может назначаться только пациенткам с эндокринным статусом постменопаузы.</w:t>
      </w:r>
    </w:p>
    <w:p w14:paraId="7757F504" w14:textId="77777777" w:rsidR="00DD5919" w:rsidRPr="00DD5919" w:rsidRDefault="00DD5919" w:rsidP="00DD5919">
      <w:pPr>
        <w:ind w:right="-1"/>
        <w:jc w:val="both"/>
        <w:rPr>
          <w:snapToGrid w:val="0"/>
          <w:sz w:val="28"/>
          <w:szCs w:val="28"/>
        </w:rPr>
      </w:pPr>
      <w:r w:rsidRPr="00DD5919">
        <w:rPr>
          <w:i/>
          <w:iCs/>
          <w:snapToGrid w:val="0"/>
          <w:sz w:val="28"/>
          <w:szCs w:val="28"/>
        </w:rPr>
        <w:t>Нарушение функции почек</w:t>
      </w:r>
      <w:r w:rsidRPr="00DD5919">
        <w:rPr>
          <w:snapToGrid w:val="0"/>
          <w:sz w:val="28"/>
          <w:szCs w:val="28"/>
        </w:rPr>
        <w:t xml:space="preserve"> </w:t>
      </w:r>
    </w:p>
    <w:p w14:paraId="045F853B" w14:textId="77777777" w:rsidR="00DD5919" w:rsidRPr="00DD5919" w:rsidRDefault="00DD5919" w:rsidP="00DD5919">
      <w:pPr>
        <w:ind w:right="-1"/>
        <w:jc w:val="both"/>
        <w:rPr>
          <w:snapToGrid w:val="0"/>
          <w:sz w:val="28"/>
          <w:szCs w:val="28"/>
        </w:rPr>
      </w:pPr>
      <w:proofErr w:type="spellStart"/>
      <w:r w:rsidRPr="00DD5919">
        <w:rPr>
          <w:snapToGrid w:val="0"/>
          <w:sz w:val="28"/>
          <w:szCs w:val="28"/>
        </w:rPr>
        <w:t>Летродэй</w:t>
      </w:r>
      <w:proofErr w:type="spellEnd"/>
      <w:r w:rsidRPr="00DD5919">
        <w:rPr>
          <w:snapToGrid w:val="0"/>
          <w:sz w:val="28"/>
          <w:szCs w:val="28"/>
        </w:rPr>
        <w:t xml:space="preserve"> не был исследован у достаточного числа пациенток с клиренсом креатинина ниже 10 мл/мин. У таких пациенток следует тщательно </w:t>
      </w:r>
      <w:proofErr w:type="spellStart"/>
      <w:r w:rsidRPr="00DD5919">
        <w:rPr>
          <w:snapToGrid w:val="0"/>
          <w:sz w:val="28"/>
          <w:szCs w:val="28"/>
        </w:rPr>
        <w:t>взвеcить</w:t>
      </w:r>
      <w:proofErr w:type="spellEnd"/>
      <w:r w:rsidRPr="00DD5919">
        <w:rPr>
          <w:snapToGrid w:val="0"/>
          <w:sz w:val="28"/>
          <w:szCs w:val="28"/>
        </w:rPr>
        <w:t xml:space="preserve"> соотношение между потенциальным риском и ожидаемым эффектом лечения. </w:t>
      </w:r>
    </w:p>
    <w:p w14:paraId="5F86D5C3" w14:textId="77777777" w:rsidR="00DD5919" w:rsidRPr="00DD5919" w:rsidRDefault="00DD5919" w:rsidP="00DD5919">
      <w:pPr>
        <w:ind w:right="-1"/>
        <w:jc w:val="both"/>
        <w:rPr>
          <w:snapToGrid w:val="0"/>
          <w:sz w:val="28"/>
          <w:szCs w:val="28"/>
        </w:rPr>
      </w:pPr>
      <w:r w:rsidRPr="00DD5919">
        <w:rPr>
          <w:i/>
          <w:iCs/>
          <w:snapToGrid w:val="0"/>
          <w:sz w:val="28"/>
          <w:szCs w:val="28"/>
        </w:rPr>
        <w:t>Нарушение функции печени</w:t>
      </w:r>
      <w:r w:rsidRPr="00DD5919">
        <w:rPr>
          <w:snapToGrid w:val="0"/>
          <w:sz w:val="28"/>
          <w:szCs w:val="28"/>
        </w:rPr>
        <w:t xml:space="preserve"> </w:t>
      </w:r>
    </w:p>
    <w:p w14:paraId="52C395EC" w14:textId="77777777" w:rsidR="00DD5919" w:rsidRPr="00DD5919" w:rsidRDefault="00DD5919" w:rsidP="00DD5919">
      <w:pPr>
        <w:ind w:right="-1"/>
        <w:jc w:val="both"/>
        <w:rPr>
          <w:snapToGrid w:val="0"/>
          <w:sz w:val="28"/>
          <w:szCs w:val="28"/>
        </w:rPr>
      </w:pPr>
      <w:r w:rsidRPr="00DD5919">
        <w:rPr>
          <w:snapToGrid w:val="0"/>
          <w:sz w:val="28"/>
          <w:szCs w:val="28"/>
        </w:rPr>
        <w:lastRenderedPageBreak/>
        <w:t xml:space="preserve">У пациентов с тяжелой печеночной недостаточностью (цирроз печени и класс С по </w:t>
      </w:r>
      <w:proofErr w:type="spellStart"/>
      <w:r w:rsidRPr="00DD5919">
        <w:rPr>
          <w:snapToGrid w:val="0"/>
          <w:sz w:val="28"/>
          <w:szCs w:val="28"/>
        </w:rPr>
        <w:t>Child-Pugh</w:t>
      </w:r>
      <w:proofErr w:type="spellEnd"/>
      <w:r w:rsidRPr="00DD5919">
        <w:rPr>
          <w:snapToGrid w:val="0"/>
          <w:sz w:val="28"/>
          <w:szCs w:val="28"/>
        </w:rPr>
        <w:t xml:space="preserve">) системная экспозиция и конечный период полувыведения </w:t>
      </w:r>
      <w:proofErr w:type="spellStart"/>
      <w:r w:rsidRPr="00DD5919">
        <w:rPr>
          <w:snapToGrid w:val="0"/>
          <w:sz w:val="28"/>
          <w:szCs w:val="28"/>
        </w:rPr>
        <w:t>летрозола</w:t>
      </w:r>
      <w:proofErr w:type="spellEnd"/>
      <w:r w:rsidRPr="00DD5919">
        <w:rPr>
          <w:snapToGrid w:val="0"/>
          <w:sz w:val="28"/>
          <w:szCs w:val="28"/>
        </w:rPr>
        <w:t xml:space="preserve"> приблизительно в 2 раза дольше, чем у здорового человека. Поэтому, у этих пациентов </w:t>
      </w:r>
      <w:proofErr w:type="spellStart"/>
      <w:r w:rsidRPr="00DD5919">
        <w:rPr>
          <w:snapToGrid w:val="0"/>
          <w:sz w:val="28"/>
          <w:szCs w:val="28"/>
        </w:rPr>
        <w:t>Летродэй</w:t>
      </w:r>
      <w:proofErr w:type="spellEnd"/>
      <w:r w:rsidRPr="00DD5919">
        <w:rPr>
          <w:snapToGrid w:val="0"/>
          <w:sz w:val="28"/>
          <w:szCs w:val="28"/>
        </w:rPr>
        <w:t xml:space="preserve"> следует применять с осторожностью и после тщательной оценки соотношения риска/пользы.</w:t>
      </w:r>
    </w:p>
    <w:p w14:paraId="345B50C8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DD5919">
        <w:rPr>
          <w:i/>
          <w:iCs/>
          <w:snapToGrid w:val="0"/>
          <w:sz w:val="28"/>
          <w:szCs w:val="28"/>
        </w:rPr>
        <w:t>Влияние на костную ткань</w:t>
      </w:r>
      <w:r w:rsidRPr="00DD5919">
        <w:rPr>
          <w:snapToGrid w:val="0"/>
          <w:sz w:val="28"/>
          <w:szCs w:val="28"/>
        </w:rPr>
        <w:t xml:space="preserve"> </w:t>
      </w:r>
    </w:p>
    <w:p w14:paraId="2E36DE87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proofErr w:type="spellStart"/>
      <w:r w:rsidRPr="00DD5919">
        <w:rPr>
          <w:snapToGrid w:val="0"/>
          <w:sz w:val="28"/>
          <w:szCs w:val="28"/>
        </w:rPr>
        <w:t>Летродэй</w:t>
      </w:r>
      <w:proofErr w:type="spellEnd"/>
      <w:r w:rsidRPr="00DD5919">
        <w:rPr>
          <w:snapToGrid w:val="0"/>
          <w:sz w:val="28"/>
          <w:szCs w:val="28"/>
        </w:rPr>
        <w:t xml:space="preserve"> является сильным препаратом, снижающим уровень эстрогенов. Женщинам с остеопорозом и/или переломами в анамнезе или имеющим повышенный риск остеопороза необходима точная оценка минеральной плотности костей путем костной денситометрии до начала </w:t>
      </w:r>
      <w:proofErr w:type="spellStart"/>
      <w:r w:rsidRPr="00DD5919">
        <w:rPr>
          <w:snapToGrid w:val="0"/>
          <w:sz w:val="28"/>
          <w:szCs w:val="28"/>
        </w:rPr>
        <w:t>адъювантной</w:t>
      </w:r>
      <w:proofErr w:type="spellEnd"/>
      <w:r w:rsidRPr="00DD5919">
        <w:rPr>
          <w:snapToGrid w:val="0"/>
          <w:sz w:val="28"/>
          <w:szCs w:val="28"/>
        </w:rPr>
        <w:t xml:space="preserve"> или длительной </w:t>
      </w:r>
      <w:proofErr w:type="spellStart"/>
      <w:r w:rsidRPr="00DD5919">
        <w:rPr>
          <w:snapToGrid w:val="0"/>
          <w:sz w:val="28"/>
          <w:szCs w:val="28"/>
        </w:rPr>
        <w:t>адъювантной</w:t>
      </w:r>
      <w:proofErr w:type="spellEnd"/>
      <w:r w:rsidRPr="00DD5919">
        <w:rPr>
          <w:snapToGrid w:val="0"/>
          <w:sz w:val="28"/>
          <w:szCs w:val="28"/>
        </w:rPr>
        <w:t xml:space="preserve"> терапии. Следует следить за развитием остеопороза во время и после приема препарата </w:t>
      </w:r>
      <w:proofErr w:type="spellStart"/>
      <w:r w:rsidRPr="00DD5919">
        <w:rPr>
          <w:snapToGrid w:val="0"/>
          <w:sz w:val="28"/>
          <w:szCs w:val="28"/>
        </w:rPr>
        <w:t>Летродэй</w:t>
      </w:r>
      <w:proofErr w:type="spellEnd"/>
      <w:r w:rsidRPr="00DD5919">
        <w:rPr>
          <w:snapToGrid w:val="0"/>
          <w:sz w:val="28"/>
          <w:szCs w:val="28"/>
        </w:rPr>
        <w:t xml:space="preserve">. При </w:t>
      </w:r>
      <w:proofErr w:type="spellStart"/>
      <w:r w:rsidRPr="00DD5919">
        <w:rPr>
          <w:snapToGrid w:val="0"/>
          <w:sz w:val="28"/>
          <w:szCs w:val="28"/>
        </w:rPr>
        <w:t>адъювантном</w:t>
      </w:r>
      <w:proofErr w:type="spellEnd"/>
      <w:r w:rsidRPr="00DD5919">
        <w:rPr>
          <w:snapToGrid w:val="0"/>
          <w:sz w:val="28"/>
          <w:szCs w:val="28"/>
        </w:rPr>
        <w:t xml:space="preserve"> лечении можно рассмотреть возможность применения последовательной схемы лечения (2 года </w:t>
      </w:r>
      <w:proofErr w:type="spellStart"/>
      <w:r w:rsidRPr="00DD5919">
        <w:rPr>
          <w:snapToGrid w:val="0"/>
          <w:sz w:val="28"/>
          <w:szCs w:val="28"/>
        </w:rPr>
        <w:t>летрозол</w:t>
      </w:r>
      <w:proofErr w:type="spellEnd"/>
      <w:r w:rsidRPr="00DD5919">
        <w:rPr>
          <w:snapToGrid w:val="0"/>
          <w:sz w:val="28"/>
          <w:szCs w:val="28"/>
        </w:rPr>
        <w:t>, после чего 3 года тамоксифен), в зависимости от профиля безопасности у пациента.</w:t>
      </w:r>
    </w:p>
    <w:p w14:paraId="0A039AAB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i/>
          <w:iCs/>
          <w:snapToGrid w:val="0"/>
          <w:sz w:val="28"/>
          <w:szCs w:val="28"/>
        </w:rPr>
      </w:pPr>
      <w:proofErr w:type="spellStart"/>
      <w:r w:rsidRPr="00DD5919">
        <w:rPr>
          <w:i/>
          <w:iCs/>
          <w:snapToGrid w:val="0"/>
          <w:sz w:val="28"/>
          <w:szCs w:val="28"/>
        </w:rPr>
        <w:t>Тендинит</w:t>
      </w:r>
      <w:proofErr w:type="spellEnd"/>
      <w:r w:rsidRPr="00DD5919">
        <w:rPr>
          <w:i/>
          <w:iCs/>
          <w:snapToGrid w:val="0"/>
          <w:sz w:val="28"/>
          <w:szCs w:val="28"/>
        </w:rPr>
        <w:t xml:space="preserve"> и разрыв сухожилий</w:t>
      </w:r>
    </w:p>
    <w:p w14:paraId="47513962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DD5919">
        <w:rPr>
          <w:snapToGrid w:val="0"/>
          <w:sz w:val="28"/>
          <w:szCs w:val="28"/>
        </w:rPr>
        <w:t xml:space="preserve">В редких случаях поступали сообщения о развитии </w:t>
      </w:r>
      <w:proofErr w:type="spellStart"/>
      <w:r w:rsidRPr="00DD5919">
        <w:rPr>
          <w:snapToGrid w:val="0"/>
          <w:sz w:val="28"/>
          <w:szCs w:val="28"/>
        </w:rPr>
        <w:t>тендинита</w:t>
      </w:r>
      <w:proofErr w:type="spellEnd"/>
      <w:r w:rsidRPr="00DD5919">
        <w:rPr>
          <w:snapToGrid w:val="0"/>
          <w:sz w:val="28"/>
          <w:szCs w:val="28"/>
        </w:rPr>
        <w:t xml:space="preserve"> и разрыва сухожилий. Пациентам необходим мониторинг, а при поражении сухожилий следует принять соответствующие меры (например, иммобилизация).</w:t>
      </w:r>
    </w:p>
    <w:p w14:paraId="12134556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i/>
          <w:iCs/>
          <w:snapToGrid w:val="0"/>
          <w:sz w:val="28"/>
          <w:szCs w:val="28"/>
        </w:rPr>
      </w:pPr>
      <w:r w:rsidRPr="00DD5919">
        <w:rPr>
          <w:i/>
          <w:iCs/>
          <w:snapToGrid w:val="0"/>
          <w:sz w:val="28"/>
          <w:szCs w:val="28"/>
        </w:rPr>
        <w:t>Другие меры предосторожности</w:t>
      </w:r>
    </w:p>
    <w:p w14:paraId="0857BAD4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DD5919">
        <w:rPr>
          <w:snapToGrid w:val="0"/>
          <w:sz w:val="28"/>
          <w:szCs w:val="28"/>
        </w:rPr>
        <w:t xml:space="preserve">Следует избегать комбинации препарата </w:t>
      </w:r>
      <w:proofErr w:type="spellStart"/>
      <w:r w:rsidRPr="00DD5919">
        <w:rPr>
          <w:snapToGrid w:val="0"/>
          <w:sz w:val="28"/>
          <w:szCs w:val="28"/>
        </w:rPr>
        <w:t>Летродэй</w:t>
      </w:r>
      <w:proofErr w:type="spellEnd"/>
      <w:r w:rsidRPr="00DD5919">
        <w:rPr>
          <w:snapToGrid w:val="0"/>
          <w:sz w:val="28"/>
          <w:szCs w:val="28"/>
        </w:rPr>
        <w:t xml:space="preserve"> с тамоксифеном, другими анти-эстрогенами или эстроген-содержащими препаратами, так как эти препараты могут понизить фармакологическую активность </w:t>
      </w:r>
      <w:proofErr w:type="spellStart"/>
      <w:r w:rsidRPr="00DD5919">
        <w:rPr>
          <w:snapToGrid w:val="0"/>
          <w:sz w:val="28"/>
          <w:szCs w:val="28"/>
        </w:rPr>
        <w:t>летрозола</w:t>
      </w:r>
      <w:proofErr w:type="spellEnd"/>
      <w:r w:rsidRPr="00DD5919">
        <w:rPr>
          <w:snapToGrid w:val="0"/>
          <w:sz w:val="28"/>
          <w:szCs w:val="28"/>
        </w:rPr>
        <w:t xml:space="preserve">. </w:t>
      </w:r>
    </w:p>
    <w:p w14:paraId="28A70E8A" w14:textId="77777777" w:rsidR="00DD5919" w:rsidRP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DD5919">
        <w:rPr>
          <w:snapToGrid w:val="0"/>
          <w:sz w:val="28"/>
          <w:szCs w:val="28"/>
        </w:rPr>
        <w:t xml:space="preserve">Каждая таблетка препарата </w:t>
      </w:r>
      <w:proofErr w:type="spellStart"/>
      <w:r w:rsidRPr="00DD5919">
        <w:rPr>
          <w:snapToGrid w:val="0"/>
          <w:sz w:val="28"/>
          <w:szCs w:val="28"/>
        </w:rPr>
        <w:t>Летродэй</w:t>
      </w:r>
      <w:proofErr w:type="spellEnd"/>
      <w:r w:rsidRPr="00DD5919">
        <w:rPr>
          <w:snapToGrid w:val="0"/>
          <w:sz w:val="28"/>
          <w:szCs w:val="28"/>
        </w:rPr>
        <w:t xml:space="preserve"> содержит 48,7 мг лактозы моногидрата. </w:t>
      </w:r>
    </w:p>
    <w:p w14:paraId="2BE58E77" w14:textId="77777777" w:rsidR="00DD5919" w:rsidRDefault="00DD5919" w:rsidP="00DD5919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DD5919">
        <w:rPr>
          <w:snapToGrid w:val="0"/>
          <w:sz w:val="28"/>
          <w:szCs w:val="28"/>
        </w:rPr>
        <w:t xml:space="preserve">Препарат не следует назначать пациенткам с редкими наследственными нарушениями толерантности к галактозе, полным наследственным дефицитом </w:t>
      </w:r>
      <w:proofErr w:type="spellStart"/>
      <w:r w:rsidRPr="00DD5919">
        <w:rPr>
          <w:snapToGrid w:val="0"/>
          <w:sz w:val="28"/>
          <w:szCs w:val="28"/>
        </w:rPr>
        <w:t>лактазы</w:t>
      </w:r>
      <w:proofErr w:type="spellEnd"/>
      <w:r w:rsidRPr="00DD5919">
        <w:rPr>
          <w:snapToGrid w:val="0"/>
          <w:sz w:val="28"/>
          <w:szCs w:val="28"/>
        </w:rPr>
        <w:t xml:space="preserve"> или синдромом </w:t>
      </w:r>
      <w:proofErr w:type="spellStart"/>
      <w:r w:rsidRPr="00DD5919">
        <w:rPr>
          <w:snapToGrid w:val="0"/>
          <w:sz w:val="28"/>
          <w:szCs w:val="28"/>
        </w:rPr>
        <w:t>невсасывания</w:t>
      </w:r>
      <w:proofErr w:type="spellEnd"/>
      <w:r w:rsidRPr="00DD5919">
        <w:rPr>
          <w:snapToGrid w:val="0"/>
          <w:sz w:val="28"/>
          <w:szCs w:val="28"/>
        </w:rPr>
        <w:t xml:space="preserve"> глюкозы-галактозы. </w:t>
      </w:r>
    </w:p>
    <w:p w14:paraId="209725E7" w14:textId="77777777" w:rsidR="005432C0" w:rsidRPr="00DD5919" w:rsidRDefault="005432C0" w:rsidP="005432C0">
      <w:pPr>
        <w:jc w:val="both"/>
        <w:rPr>
          <w:snapToGrid w:val="0"/>
          <w:sz w:val="28"/>
          <w:szCs w:val="28"/>
        </w:rPr>
      </w:pPr>
      <w:r w:rsidRPr="005432C0">
        <w:rPr>
          <w:sz w:val="28"/>
          <w:szCs w:val="28"/>
        </w:rPr>
        <w:t>Содержания натрия в менее 1 ммоль (23 мг) в разовой дозе, препарат считается свободными от натрия.</w:t>
      </w:r>
    </w:p>
    <w:p w14:paraId="6195CB02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i/>
          <w:iCs/>
          <w:snapToGrid w:val="0"/>
          <w:sz w:val="28"/>
          <w:szCs w:val="28"/>
        </w:rPr>
      </w:pPr>
      <w:r w:rsidRPr="0037338D">
        <w:rPr>
          <w:i/>
          <w:iCs/>
          <w:snapToGrid w:val="0"/>
          <w:sz w:val="28"/>
          <w:szCs w:val="28"/>
        </w:rPr>
        <w:t xml:space="preserve">Женщины репродуктивного возраста и в </w:t>
      </w:r>
      <w:proofErr w:type="spellStart"/>
      <w:r w:rsidRPr="0037338D">
        <w:rPr>
          <w:i/>
          <w:iCs/>
          <w:snapToGrid w:val="0"/>
          <w:sz w:val="28"/>
          <w:szCs w:val="28"/>
        </w:rPr>
        <w:t>перименопаузальном</w:t>
      </w:r>
      <w:proofErr w:type="spellEnd"/>
      <w:r w:rsidRPr="0037338D">
        <w:rPr>
          <w:i/>
          <w:iCs/>
          <w:snapToGrid w:val="0"/>
          <w:sz w:val="28"/>
          <w:szCs w:val="28"/>
        </w:rPr>
        <w:t xml:space="preserve"> периоде</w:t>
      </w:r>
    </w:p>
    <w:p w14:paraId="4A99FF7E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proofErr w:type="spellStart"/>
      <w:r w:rsidRPr="0037338D">
        <w:rPr>
          <w:snapToGrid w:val="0"/>
          <w:sz w:val="28"/>
          <w:szCs w:val="28"/>
        </w:rPr>
        <w:t>Летродэй</w:t>
      </w:r>
      <w:proofErr w:type="spellEnd"/>
      <w:r w:rsidRPr="0037338D">
        <w:rPr>
          <w:snapToGrid w:val="0"/>
          <w:sz w:val="28"/>
          <w:szCs w:val="28"/>
        </w:rPr>
        <w:t xml:space="preserve"> можно назначать только пациенткам с однозначно установленным статусом постменопаузы</w:t>
      </w:r>
      <w:r w:rsidR="004F13EF">
        <w:rPr>
          <w:snapToGrid w:val="0"/>
          <w:sz w:val="28"/>
          <w:szCs w:val="28"/>
        </w:rPr>
        <w:t xml:space="preserve">. </w:t>
      </w:r>
      <w:r w:rsidRPr="0037338D">
        <w:rPr>
          <w:snapToGrid w:val="0"/>
          <w:sz w:val="28"/>
          <w:szCs w:val="28"/>
        </w:rPr>
        <w:t xml:space="preserve">Так как имеются сообщения о восстановлении функции яичников на фоне лечения </w:t>
      </w:r>
      <w:proofErr w:type="spellStart"/>
      <w:r w:rsidRPr="0037338D">
        <w:rPr>
          <w:snapToGrid w:val="0"/>
          <w:sz w:val="28"/>
          <w:szCs w:val="28"/>
        </w:rPr>
        <w:t>летрозолом</w:t>
      </w:r>
      <w:proofErr w:type="spellEnd"/>
      <w:r w:rsidRPr="0037338D">
        <w:rPr>
          <w:snapToGrid w:val="0"/>
          <w:sz w:val="28"/>
          <w:szCs w:val="28"/>
        </w:rPr>
        <w:t xml:space="preserve">, несмотря на установленный статус постменопаузы в начале лечения, врач должен обсудить с пациенткой важность использования надежных методов контрацепции, если в этом есть необходимость.  </w:t>
      </w:r>
    </w:p>
    <w:p w14:paraId="10EB509B" w14:textId="77777777" w:rsidR="0037338D" w:rsidRPr="0037338D" w:rsidRDefault="0037338D" w:rsidP="0037338D">
      <w:pPr>
        <w:ind w:right="-1"/>
        <w:jc w:val="both"/>
        <w:rPr>
          <w:i/>
          <w:snapToGrid w:val="0"/>
          <w:sz w:val="28"/>
          <w:szCs w:val="28"/>
        </w:rPr>
      </w:pPr>
      <w:r w:rsidRPr="0037338D">
        <w:rPr>
          <w:i/>
          <w:snapToGrid w:val="0"/>
          <w:sz w:val="28"/>
          <w:szCs w:val="28"/>
        </w:rPr>
        <w:t>Беременность</w:t>
      </w:r>
    </w:p>
    <w:p w14:paraId="2E7FF6E4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37338D">
        <w:rPr>
          <w:snapToGrid w:val="0"/>
          <w:sz w:val="28"/>
          <w:szCs w:val="28"/>
        </w:rPr>
        <w:t xml:space="preserve">Врач должен обсудить необходимость выполнения теста на беременность перед началом введения препарата </w:t>
      </w:r>
      <w:proofErr w:type="spellStart"/>
      <w:r w:rsidRPr="0037338D">
        <w:rPr>
          <w:snapToGrid w:val="0"/>
          <w:sz w:val="28"/>
          <w:szCs w:val="28"/>
        </w:rPr>
        <w:t>Летродэй</w:t>
      </w:r>
      <w:proofErr w:type="spellEnd"/>
      <w:r w:rsidRPr="0037338D">
        <w:rPr>
          <w:snapToGrid w:val="0"/>
          <w:sz w:val="28"/>
          <w:szCs w:val="28"/>
        </w:rPr>
        <w:t xml:space="preserve"> и принятия достаточных мер контрацепции с женщинами, у которых может наступить беременность </w:t>
      </w:r>
      <w:r w:rsidRPr="0037338D">
        <w:rPr>
          <w:snapToGrid w:val="0"/>
          <w:sz w:val="28"/>
          <w:szCs w:val="28"/>
        </w:rPr>
        <w:lastRenderedPageBreak/>
        <w:t xml:space="preserve">(например, в случае </w:t>
      </w:r>
      <w:proofErr w:type="spellStart"/>
      <w:r w:rsidRPr="0037338D">
        <w:rPr>
          <w:snapToGrid w:val="0"/>
          <w:sz w:val="28"/>
          <w:szCs w:val="28"/>
        </w:rPr>
        <w:t>перименопаузы</w:t>
      </w:r>
      <w:proofErr w:type="spellEnd"/>
      <w:r w:rsidRPr="0037338D">
        <w:rPr>
          <w:snapToGrid w:val="0"/>
          <w:sz w:val="28"/>
          <w:szCs w:val="28"/>
        </w:rPr>
        <w:t xml:space="preserve"> или после недавнего наступления постменопаузы) до достоверного подтверждения статуса постменопаузы. </w:t>
      </w:r>
    </w:p>
    <w:p w14:paraId="7E2F6596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37338D">
        <w:rPr>
          <w:snapToGrid w:val="0"/>
          <w:sz w:val="28"/>
          <w:szCs w:val="28"/>
        </w:rPr>
        <w:t xml:space="preserve">Сообщалось о единичных случаях пороков развития (лабиальное сращение, неоднозначный пол). </w:t>
      </w:r>
      <w:proofErr w:type="spellStart"/>
      <w:r w:rsidRPr="0037338D">
        <w:rPr>
          <w:snapToGrid w:val="0"/>
          <w:sz w:val="28"/>
          <w:szCs w:val="28"/>
        </w:rPr>
        <w:t>Летродэй</w:t>
      </w:r>
      <w:proofErr w:type="spellEnd"/>
      <w:r w:rsidRPr="0037338D">
        <w:rPr>
          <w:snapToGrid w:val="0"/>
          <w:sz w:val="28"/>
          <w:szCs w:val="28"/>
        </w:rPr>
        <w:t xml:space="preserve"> может вызвать пороки развития при применении во время беременности. Экспериментальные исследования на животных выявили репродуктивную токсичность.</w:t>
      </w:r>
    </w:p>
    <w:p w14:paraId="7B5926BF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proofErr w:type="spellStart"/>
      <w:r w:rsidRPr="0037338D">
        <w:rPr>
          <w:snapToGrid w:val="0"/>
          <w:sz w:val="28"/>
          <w:szCs w:val="28"/>
        </w:rPr>
        <w:t>Летродэй</w:t>
      </w:r>
      <w:proofErr w:type="spellEnd"/>
      <w:r w:rsidRPr="0037338D">
        <w:rPr>
          <w:snapToGrid w:val="0"/>
          <w:sz w:val="28"/>
          <w:szCs w:val="28"/>
        </w:rPr>
        <w:t xml:space="preserve"> противопоказан во время беременности.</w:t>
      </w:r>
    </w:p>
    <w:p w14:paraId="263065F3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i/>
          <w:iCs/>
          <w:snapToGrid w:val="0"/>
          <w:sz w:val="28"/>
          <w:szCs w:val="28"/>
        </w:rPr>
      </w:pPr>
      <w:r w:rsidRPr="0037338D">
        <w:rPr>
          <w:i/>
          <w:iCs/>
          <w:snapToGrid w:val="0"/>
          <w:sz w:val="28"/>
          <w:szCs w:val="28"/>
        </w:rPr>
        <w:t>Кормление грудью</w:t>
      </w:r>
    </w:p>
    <w:p w14:paraId="29C3D8CC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37338D">
        <w:rPr>
          <w:snapToGrid w:val="0"/>
          <w:sz w:val="28"/>
          <w:szCs w:val="28"/>
        </w:rPr>
        <w:t xml:space="preserve">Неизвестно, выделяется ли </w:t>
      </w:r>
      <w:proofErr w:type="spellStart"/>
      <w:r w:rsidRPr="0037338D">
        <w:rPr>
          <w:snapToGrid w:val="0"/>
          <w:sz w:val="28"/>
          <w:szCs w:val="28"/>
        </w:rPr>
        <w:t>летрозол</w:t>
      </w:r>
      <w:proofErr w:type="spellEnd"/>
      <w:r w:rsidRPr="0037338D">
        <w:rPr>
          <w:snapToGrid w:val="0"/>
          <w:sz w:val="28"/>
          <w:szCs w:val="28"/>
        </w:rPr>
        <w:t xml:space="preserve"> и его метаболиты в грудное молоко. Нельзя исключить риск для новорождённых и детей. </w:t>
      </w:r>
    </w:p>
    <w:p w14:paraId="5960C274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bookmarkStart w:id="3" w:name="_Hlk56074665"/>
      <w:proofErr w:type="spellStart"/>
      <w:r w:rsidRPr="0037338D">
        <w:rPr>
          <w:snapToGrid w:val="0"/>
          <w:sz w:val="28"/>
          <w:szCs w:val="28"/>
        </w:rPr>
        <w:t>Летродэй</w:t>
      </w:r>
      <w:proofErr w:type="spellEnd"/>
      <w:r w:rsidRPr="0037338D">
        <w:rPr>
          <w:snapToGrid w:val="0"/>
          <w:sz w:val="28"/>
          <w:szCs w:val="28"/>
        </w:rPr>
        <w:t xml:space="preserve"> противопоказан в период лактации.</w:t>
      </w:r>
    </w:p>
    <w:bookmarkEnd w:id="3"/>
    <w:p w14:paraId="7010CCC1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i/>
          <w:snapToGrid w:val="0"/>
          <w:sz w:val="28"/>
          <w:szCs w:val="28"/>
        </w:rPr>
      </w:pPr>
      <w:r w:rsidRPr="0037338D">
        <w:rPr>
          <w:i/>
          <w:snapToGrid w:val="0"/>
          <w:sz w:val="28"/>
          <w:szCs w:val="28"/>
        </w:rPr>
        <w:t>Фертильность</w:t>
      </w:r>
    </w:p>
    <w:p w14:paraId="4F8C088A" w14:textId="77777777" w:rsidR="0037338D" w:rsidRPr="0037338D" w:rsidRDefault="0037338D" w:rsidP="0037338D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37338D">
        <w:rPr>
          <w:snapToGrid w:val="0"/>
          <w:sz w:val="28"/>
          <w:szCs w:val="28"/>
        </w:rPr>
        <w:t xml:space="preserve">Фармакологическим эффектом </w:t>
      </w:r>
      <w:proofErr w:type="spellStart"/>
      <w:r w:rsidRPr="0037338D">
        <w:rPr>
          <w:snapToGrid w:val="0"/>
          <w:sz w:val="28"/>
          <w:szCs w:val="28"/>
        </w:rPr>
        <w:t>летрозола</w:t>
      </w:r>
      <w:proofErr w:type="spellEnd"/>
      <w:r w:rsidRPr="0037338D">
        <w:rPr>
          <w:snapToGrid w:val="0"/>
          <w:sz w:val="28"/>
          <w:szCs w:val="28"/>
        </w:rPr>
        <w:t xml:space="preserve"> является подавление выработки эстрогена за счёт ингибиции ароматазы. У женщин в </w:t>
      </w:r>
      <w:proofErr w:type="spellStart"/>
      <w:r w:rsidRPr="0037338D">
        <w:rPr>
          <w:snapToGrid w:val="0"/>
          <w:sz w:val="28"/>
          <w:szCs w:val="28"/>
        </w:rPr>
        <w:t>пременопаузе</w:t>
      </w:r>
      <w:proofErr w:type="spellEnd"/>
      <w:r w:rsidRPr="0037338D">
        <w:rPr>
          <w:snapToGrid w:val="0"/>
          <w:sz w:val="28"/>
          <w:szCs w:val="28"/>
        </w:rPr>
        <w:t xml:space="preserve"> подавление синтеза эстрогена по механизму обратной связи повышает уровни гонадотропина ЛГ и ФСГ. В свою очередь, повышение уровня ФСГ стимулирует фолликулярный рост и может вызвать овуляцию.</w:t>
      </w:r>
    </w:p>
    <w:p w14:paraId="4A307CDC" w14:textId="77777777" w:rsidR="00364EE4" w:rsidRPr="00364EE4" w:rsidRDefault="00364EE4" w:rsidP="00364EE4">
      <w:pPr>
        <w:jc w:val="both"/>
        <w:rPr>
          <w:i/>
          <w:sz w:val="28"/>
          <w:szCs w:val="28"/>
          <w:lang w:eastAsia="ko-KR"/>
        </w:rPr>
      </w:pPr>
      <w:r w:rsidRPr="00364EE4">
        <w:rPr>
          <w:i/>
          <w:sz w:val="28"/>
          <w:szCs w:val="28"/>
          <w:lang w:eastAsia="ko-KR"/>
        </w:rPr>
        <w:t>Особенности влияния лекарственного средства на способность управлять транспортным средством или потенциально опасными механизмами</w:t>
      </w:r>
    </w:p>
    <w:p w14:paraId="4132DEE3" w14:textId="77777777" w:rsidR="009843B4" w:rsidRPr="009843B4" w:rsidRDefault="009843B4" w:rsidP="009843B4">
      <w:pPr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proofErr w:type="spellStart"/>
      <w:r w:rsidRPr="009843B4">
        <w:rPr>
          <w:snapToGrid w:val="0"/>
          <w:sz w:val="28"/>
          <w:szCs w:val="28"/>
        </w:rPr>
        <w:t>Летрозол</w:t>
      </w:r>
      <w:proofErr w:type="spellEnd"/>
      <w:r w:rsidRPr="009843B4">
        <w:rPr>
          <w:snapToGrid w:val="0"/>
          <w:sz w:val="28"/>
          <w:szCs w:val="28"/>
        </w:rPr>
        <w:t xml:space="preserve"> в незначительной мере влияет на способность управлять транспортными средствами и на выполнение потенциально опасных видов деятельности. Во время применения </w:t>
      </w:r>
      <w:proofErr w:type="spellStart"/>
      <w:r w:rsidRPr="009843B4">
        <w:rPr>
          <w:snapToGrid w:val="0"/>
          <w:sz w:val="28"/>
          <w:szCs w:val="28"/>
        </w:rPr>
        <w:t>летрозола</w:t>
      </w:r>
      <w:proofErr w:type="spellEnd"/>
      <w:r w:rsidRPr="009843B4">
        <w:rPr>
          <w:snapToGrid w:val="0"/>
          <w:sz w:val="28"/>
          <w:szCs w:val="28"/>
        </w:rPr>
        <w:t xml:space="preserve"> в редких случаях наблюдались утомляемость, головокружение, сонливость. В связи с этим рекомендуется соблюдение осторожности при управлении транспортными средствами и механизмами. </w:t>
      </w:r>
    </w:p>
    <w:p w14:paraId="579D7192" w14:textId="77777777" w:rsidR="00565A24" w:rsidRDefault="00565A24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pacing w:val="-6"/>
          <w:sz w:val="28"/>
          <w:szCs w:val="28"/>
        </w:rPr>
      </w:pPr>
    </w:p>
    <w:p w14:paraId="4E1AD657" w14:textId="77777777" w:rsidR="005E58B9" w:rsidRPr="005E58B9" w:rsidRDefault="005E58B9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6"/>
          <w:sz w:val="28"/>
          <w:szCs w:val="28"/>
        </w:rPr>
      </w:pPr>
      <w:r w:rsidRPr="005E58B9">
        <w:rPr>
          <w:b/>
          <w:color w:val="000000"/>
          <w:spacing w:val="-6"/>
          <w:sz w:val="28"/>
          <w:szCs w:val="28"/>
        </w:rPr>
        <w:t>Рекомендации по применению</w:t>
      </w:r>
    </w:p>
    <w:p w14:paraId="769D9B72" w14:textId="77777777" w:rsidR="005A5C9F" w:rsidRPr="00F37F58" w:rsidRDefault="005A5C9F" w:rsidP="0086549E">
      <w:pPr>
        <w:tabs>
          <w:tab w:val="left" w:pos="7938"/>
        </w:tabs>
        <w:autoSpaceDE w:val="0"/>
        <w:autoSpaceDN w:val="0"/>
        <w:adjustRightInd w:val="0"/>
        <w:ind w:right="-1"/>
        <w:jc w:val="both"/>
        <w:rPr>
          <w:b/>
          <w:bCs/>
          <w:i/>
          <w:snapToGrid w:val="0"/>
          <w:sz w:val="28"/>
          <w:szCs w:val="28"/>
        </w:rPr>
      </w:pPr>
      <w:r w:rsidRPr="00F37F58">
        <w:rPr>
          <w:b/>
          <w:bCs/>
          <w:i/>
          <w:snapToGrid w:val="0"/>
          <w:sz w:val="28"/>
          <w:szCs w:val="28"/>
        </w:rPr>
        <w:t>Режим дозирования</w:t>
      </w:r>
    </w:p>
    <w:p w14:paraId="17616E6F" w14:textId="77777777" w:rsidR="005A5C9F" w:rsidRPr="005A5C9F" w:rsidRDefault="005A5C9F" w:rsidP="0086549E">
      <w:pPr>
        <w:tabs>
          <w:tab w:val="left" w:pos="7938"/>
        </w:tabs>
        <w:autoSpaceDE w:val="0"/>
        <w:autoSpaceDN w:val="0"/>
        <w:adjustRightInd w:val="0"/>
        <w:ind w:right="-1"/>
        <w:jc w:val="both"/>
        <w:rPr>
          <w:i/>
          <w:snapToGrid w:val="0"/>
          <w:sz w:val="28"/>
          <w:szCs w:val="28"/>
        </w:rPr>
      </w:pPr>
      <w:r w:rsidRPr="005A5C9F">
        <w:rPr>
          <w:i/>
          <w:snapToGrid w:val="0"/>
          <w:sz w:val="28"/>
          <w:szCs w:val="28"/>
        </w:rPr>
        <w:t xml:space="preserve">Взрослые и пациентки пожилого возраста </w:t>
      </w:r>
    </w:p>
    <w:p w14:paraId="0FD66248" w14:textId="77777777" w:rsidR="005A5C9F" w:rsidRPr="005A5C9F" w:rsidRDefault="005A5C9F" w:rsidP="0086549E">
      <w:pPr>
        <w:tabs>
          <w:tab w:val="left" w:pos="7938"/>
        </w:tabs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5A5C9F">
        <w:rPr>
          <w:snapToGrid w:val="0"/>
          <w:sz w:val="28"/>
          <w:szCs w:val="28"/>
        </w:rPr>
        <w:t xml:space="preserve">Рекомендуемая доза - 2,5 мг один раз в сутки, ежедневно. У пациенток пожилого возраста не требуется коррекции дозы препарата </w:t>
      </w:r>
      <w:proofErr w:type="spellStart"/>
      <w:r w:rsidRPr="005A5C9F">
        <w:rPr>
          <w:snapToGrid w:val="0"/>
          <w:sz w:val="28"/>
          <w:szCs w:val="28"/>
        </w:rPr>
        <w:t>Летродэй</w:t>
      </w:r>
      <w:proofErr w:type="spellEnd"/>
      <w:r w:rsidRPr="005A5C9F">
        <w:rPr>
          <w:snapToGrid w:val="0"/>
          <w:sz w:val="28"/>
          <w:szCs w:val="28"/>
        </w:rPr>
        <w:t xml:space="preserve">. </w:t>
      </w:r>
    </w:p>
    <w:p w14:paraId="2E852259" w14:textId="77777777" w:rsidR="005A5C9F" w:rsidRPr="005A5C9F" w:rsidRDefault="005A5C9F" w:rsidP="0086549E">
      <w:pPr>
        <w:tabs>
          <w:tab w:val="left" w:pos="7938"/>
        </w:tabs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5A5C9F">
        <w:rPr>
          <w:snapToGrid w:val="0"/>
          <w:sz w:val="28"/>
          <w:szCs w:val="28"/>
        </w:rPr>
        <w:t xml:space="preserve">У пациентов с распространенным или метастатическим раком молочной железы терапию препаратом </w:t>
      </w:r>
      <w:proofErr w:type="spellStart"/>
      <w:r w:rsidRPr="005A5C9F">
        <w:rPr>
          <w:snapToGrid w:val="0"/>
          <w:sz w:val="28"/>
          <w:szCs w:val="28"/>
        </w:rPr>
        <w:t>Летродэй</w:t>
      </w:r>
      <w:proofErr w:type="spellEnd"/>
      <w:r w:rsidRPr="005A5C9F">
        <w:rPr>
          <w:snapToGrid w:val="0"/>
          <w:sz w:val="28"/>
          <w:szCs w:val="28"/>
        </w:rPr>
        <w:t xml:space="preserve"> продолжают до появления признаков прогрессирования заболевания.</w:t>
      </w:r>
    </w:p>
    <w:p w14:paraId="44838108" w14:textId="77777777" w:rsidR="005A5C9F" w:rsidRPr="005A5C9F" w:rsidRDefault="005A5C9F" w:rsidP="0086549E">
      <w:pPr>
        <w:tabs>
          <w:tab w:val="left" w:pos="7938"/>
        </w:tabs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5A5C9F">
        <w:rPr>
          <w:snapToGrid w:val="0"/>
          <w:sz w:val="28"/>
          <w:szCs w:val="28"/>
        </w:rPr>
        <w:t xml:space="preserve">При </w:t>
      </w:r>
      <w:proofErr w:type="spellStart"/>
      <w:r w:rsidRPr="005A5C9F">
        <w:rPr>
          <w:snapToGrid w:val="0"/>
          <w:sz w:val="28"/>
          <w:szCs w:val="28"/>
        </w:rPr>
        <w:t>адъювантной</w:t>
      </w:r>
      <w:proofErr w:type="spellEnd"/>
      <w:r w:rsidRPr="005A5C9F">
        <w:rPr>
          <w:snapToGrid w:val="0"/>
          <w:sz w:val="28"/>
          <w:szCs w:val="28"/>
        </w:rPr>
        <w:t xml:space="preserve"> и расширенной </w:t>
      </w:r>
      <w:proofErr w:type="spellStart"/>
      <w:r w:rsidRPr="005A5C9F">
        <w:rPr>
          <w:snapToGrid w:val="0"/>
          <w:sz w:val="28"/>
          <w:szCs w:val="28"/>
        </w:rPr>
        <w:t>адъювантной</w:t>
      </w:r>
      <w:proofErr w:type="spellEnd"/>
      <w:r w:rsidRPr="005A5C9F">
        <w:rPr>
          <w:snapToGrid w:val="0"/>
          <w:sz w:val="28"/>
          <w:szCs w:val="28"/>
        </w:rPr>
        <w:t xml:space="preserve"> терапии, лечение препаратом </w:t>
      </w:r>
      <w:proofErr w:type="spellStart"/>
      <w:r w:rsidRPr="005A5C9F">
        <w:rPr>
          <w:snapToGrid w:val="0"/>
          <w:sz w:val="28"/>
          <w:szCs w:val="28"/>
        </w:rPr>
        <w:t>Летродэй</w:t>
      </w:r>
      <w:proofErr w:type="spellEnd"/>
      <w:r w:rsidRPr="005A5C9F">
        <w:rPr>
          <w:snapToGrid w:val="0"/>
          <w:sz w:val="28"/>
          <w:szCs w:val="28"/>
        </w:rPr>
        <w:t xml:space="preserve"> должно продолжаться на протяжении 5 лет или пока не настанет рецидив заболевания. </w:t>
      </w:r>
    </w:p>
    <w:p w14:paraId="03F9DB70" w14:textId="77777777" w:rsidR="005A5C9F" w:rsidRPr="005A5C9F" w:rsidRDefault="005A5C9F" w:rsidP="0086549E">
      <w:pPr>
        <w:tabs>
          <w:tab w:val="left" w:pos="7938"/>
        </w:tabs>
        <w:autoSpaceDE w:val="0"/>
        <w:autoSpaceDN w:val="0"/>
        <w:adjustRightInd w:val="0"/>
        <w:ind w:right="-1"/>
        <w:jc w:val="both"/>
        <w:rPr>
          <w:snapToGrid w:val="0"/>
          <w:sz w:val="28"/>
          <w:szCs w:val="28"/>
        </w:rPr>
      </w:pPr>
      <w:r w:rsidRPr="005A5C9F">
        <w:rPr>
          <w:snapToGrid w:val="0"/>
          <w:sz w:val="28"/>
          <w:szCs w:val="28"/>
        </w:rPr>
        <w:t xml:space="preserve">Имеется опыт </w:t>
      </w:r>
      <w:proofErr w:type="spellStart"/>
      <w:r w:rsidRPr="005A5C9F">
        <w:rPr>
          <w:snapToGrid w:val="0"/>
          <w:sz w:val="28"/>
          <w:szCs w:val="28"/>
        </w:rPr>
        <w:t>адъювантной</w:t>
      </w:r>
      <w:proofErr w:type="spellEnd"/>
      <w:r w:rsidRPr="005A5C9F">
        <w:rPr>
          <w:snapToGrid w:val="0"/>
          <w:sz w:val="28"/>
          <w:szCs w:val="28"/>
        </w:rPr>
        <w:t xml:space="preserve"> последовательной терапии (прием </w:t>
      </w:r>
      <w:proofErr w:type="spellStart"/>
      <w:r w:rsidRPr="005A5C9F">
        <w:rPr>
          <w:snapToGrid w:val="0"/>
          <w:sz w:val="28"/>
          <w:szCs w:val="28"/>
        </w:rPr>
        <w:t>летрозола</w:t>
      </w:r>
      <w:proofErr w:type="spellEnd"/>
      <w:r w:rsidRPr="005A5C9F">
        <w:rPr>
          <w:snapToGrid w:val="0"/>
          <w:sz w:val="28"/>
          <w:szCs w:val="28"/>
        </w:rPr>
        <w:t xml:space="preserve"> в течение 2-х лет с переходом на тамоксифен в течение 3-х лет)</w:t>
      </w:r>
      <w:r>
        <w:rPr>
          <w:snapToGrid w:val="0"/>
          <w:sz w:val="28"/>
          <w:szCs w:val="28"/>
        </w:rPr>
        <w:t>.</w:t>
      </w:r>
    </w:p>
    <w:p w14:paraId="23640EC3" w14:textId="77777777" w:rsidR="005A5C9F" w:rsidRPr="005A5C9F" w:rsidRDefault="005A5C9F" w:rsidP="0086549E">
      <w:pPr>
        <w:tabs>
          <w:tab w:val="left" w:pos="7938"/>
        </w:tabs>
        <w:ind w:right="-1"/>
        <w:jc w:val="both"/>
        <w:rPr>
          <w:i/>
          <w:snapToGrid w:val="0"/>
          <w:sz w:val="28"/>
          <w:szCs w:val="28"/>
        </w:rPr>
      </w:pPr>
      <w:r w:rsidRPr="005A5C9F">
        <w:rPr>
          <w:snapToGrid w:val="0"/>
          <w:sz w:val="28"/>
          <w:szCs w:val="28"/>
        </w:rPr>
        <w:t xml:space="preserve">При </w:t>
      </w:r>
      <w:proofErr w:type="spellStart"/>
      <w:r w:rsidRPr="005A5C9F">
        <w:rPr>
          <w:snapToGrid w:val="0"/>
          <w:sz w:val="28"/>
          <w:szCs w:val="28"/>
        </w:rPr>
        <w:t>неоадъювантной</w:t>
      </w:r>
      <w:proofErr w:type="spellEnd"/>
      <w:r w:rsidRPr="005A5C9F">
        <w:rPr>
          <w:snapToGrid w:val="0"/>
          <w:sz w:val="28"/>
          <w:szCs w:val="28"/>
        </w:rPr>
        <w:t xml:space="preserve"> терапии, лечение препаратом </w:t>
      </w:r>
      <w:proofErr w:type="spellStart"/>
      <w:r w:rsidRPr="005A5C9F">
        <w:rPr>
          <w:snapToGrid w:val="0"/>
          <w:sz w:val="28"/>
          <w:szCs w:val="28"/>
        </w:rPr>
        <w:t>Летродэй</w:t>
      </w:r>
      <w:proofErr w:type="spellEnd"/>
      <w:r w:rsidRPr="005A5C9F">
        <w:rPr>
          <w:snapToGrid w:val="0"/>
          <w:sz w:val="28"/>
          <w:szCs w:val="28"/>
        </w:rPr>
        <w:t xml:space="preserve"> можно проводить от 4 до 8 месяцев с целью установления оптимального уменьшения объёма опухоли. При неадекватном ответе следует отменить прием препарата </w:t>
      </w:r>
      <w:proofErr w:type="spellStart"/>
      <w:r w:rsidRPr="005A5C9F">
        <w:rPr>
          <w:snapToGrid w:val="0"/>
          <w:sz w:val="28"/>
          <w:szCs w:val="28"/>
        </w:rPr>
        <w:t>Летродэй</w:t>
      </w:r>
      <w:proofErr w:type="spellEnd"/>
      <w:r w:rsidRPr="005A5C9F">
        <w:rPr>
          <w:snapToGrid w:val="0"/>
          <w:sz w:val="28"/>
          <w:szCs w:val="28"/>
        </w:rPr>
        <w:t>, назначить хирургическое лечение и обсудить с пациенткой дальнейшие возможности лечения.</w:t>
      </w:r>
      <w:r w:rsidRPr="005A5C9F">
        <w:rPr>
          <w:i/>
          <w:snapToGrid w:val="0"/>
          <w:sz w:val="28"/>
          <w:szCs w:val="28"/>
        </w:rPr>
        <w:t xml:space="preserve"> </w:t>
      </w:r>
    </w:p>
    <w:p w14:paraId="509715B9" w14:textId="77777777" w:rsidR="005A5C9F" w:rsidRPr="00F37F58" w:rsidRDefault="005A5C9F" w:rsidP="0086549E">
      <w:pPr>
        <w:tabs>
          <w:tab w:val="left" w:pos="7938"/>
        </w:tabs>
        <w:ind w:right="-1"/>
        <w:jc w:val="both"/>
        <w:rPr>
          <w:b/>
          <w:i/>
          <w:iCs/>
          <w:snapToGrid w:val="0"/>
          <w:sz w:val="28"/>
          <w:szCs w:val="28"/>
        </w:rPr>
      </w:pPr>
      <w:r w:rsidRPr="00F37F58">
        <w:rPr>
          <w:b/>
          <w:i/>
          <w:iCs/>
          <w:snapToGrid w:val="0"/>
          <w:sz w:val="28"/>
          <w:szCs w:val="28"/>
        </w:rPr>
        <w:lastRenderedPageBreak/>
        <w:t>Особые группы пациентов</w:t>
      </w:r>
    </w:p>
    <w:p w14:paraId="4F292D9A" w14:textId="77777777" w:rsidR="005A5C9F" w:rsidRPr="005A5C9F" w:rsidRDefault="005A5C9F" w:rsidP="0086549E">
      <w:pPr>
        <w:tabs>
          <w:tab w:val="left" w:pos="7938"/>
        </w:tabs>
        <w:ind w:right="-1"/>
        <w:jc w:val="both"/>
        <w:rPr>
          <w:i/>
          <w:iCs/>
          <w:snapToGrid w:val="0"/>
          <w:sz w:val="28"/>
          <w:szCs w:val="28"/>
        </w:rPr>
      </w:pPr>
      <w:r w:rsidRPr="005A5C9F">
        <w:rPr>
          <w:i/>
          <w:iCs/>
          <w:snapToGrid w:val="0"/>
          <w:sz w:val="28"/>
          <w:szCs w:val="28"/>
        </w:rPr>
        <w:t>Дети и подростки</w:t>
      </w:r>
    </w:p>
    <w:p w14:paraId="79C74D26" w14:textId="77777777" w:rsidR="005A5C9F" w:rsidRPr="005A5C9F" w:rsidRDefault="005A5C9F" w:rsidP="0086549E">
      <w:pPr>
        <w:tabs>
          <w:tab w:val="left" w:pos="7938"/>
        </w:tabs>
        <w:ind w:right="-1"/>
        <w:jc w:val="both"/>
        <w:rPr>
          <w:snapToGrid w:val="0"/>
          <w:sz w:val="28"/>
          <w:szCs w:val="28"/>
        </w:rPr>
      </w:pPr>
      <w:proofErr w:type="spellStart"/>
      <w:r w:rsidRPr="005A5C9F">
        <w:rPr>
          <w:snapToGrid w:val="0"/>
          <w:sz w:val="28"/>
          <w:szCs w:val="28"/>
        </w:rPr>
        <w:t>Летродэй</w:t>
      </w:r>
      <w:proofErr w:type="spellEnd"/>
      <w:r w:rsidRPr="005A5C9F">
        <w:rPr>
          <w:snapToGrid w:val="0"/>
          <w:sz w:val="28"/>
          <w:szCs w:val="28"/>
        </w:rPr>
        <w:t xml:space="preserve"> не рекомендуется применять в детском и подростковом возрасте. Эффективность и безопасность препарата у детей и подростков в возрасте до 17 лет ещё не установлена. Имеются лишь ограниченные данные, на основании которых нельзя создать рекомендации по дозировке.</w:t>
      </w:r>
    </w:p>
    <w:p w14:paraId="6DE7B3B2" w14:textId="77777777" w:rsidR="005A5C9F" w:rsidRPr="005A5C9F" w:rsidRDefault="005A5C9F" w:rsidP="0086549E">
      <w:pPr>
        <w:tabs>
          <w:tab w:val="left" w:pos="7938"/>
        </w:tabs>
        <w:ind w:right="-1"/>
        <w:jc w:val="both"/>
        <w:rPr>
          <w:i/>
          <w:iCs/>
          <w:snapToGrid w:val="0"/>
          <w:sz w:val="28"/>
          <w:szCs w:val="28"/>
        </w:rPr>
      </w:pPr>
      <w:r w:rsidRPr="005A5C9F">
        <w:rPr>
          <w:i/>
          <w:iCs/>
          <w:snapToGrid w:val="0"/>
          <w:sz w:val="28"/>
          <w:szCs w:val="28"/>
        </w:rPr>
        <w:t>Пациентам с нарушением функций почек</w:t>
      </w:r>
    </w:p>
    <w:p w14:paraId="6CE5AE78" w14:textId="77777777" w:rsidR="005A5C9F" w:rsidRPr="005A5C9F" w:rsidRDefault="005A5C9F" w:rsidP="0086549E">
      <w:pPr>
        <w:tabs>
          <w:tab w:val="left" w:pos="7938"/>
        </w:tabs>
        <w:ind w:right="-1"/>
        <w:jc w:val="both"/>
        <w:rPr>
          <w:snapToGrid w:val="0"/>
          <w:sz w:val="28"/>
          <w:szCs w:val="28"/>
        </w:rPr>
      </w:pPr>
      <w:r w:rsidRPr="005A5C9F">
        <w:rPr>
          <w:snapToGrid w:val="0"/>
          <w:sz w:val="28"/>
          <w:szCs w:val="28"/>
        </w:rPr>
        <w:t xml:space="preserve">Пациенткам с почечной недостаточностью и клиренсом креатинина ≥10 мл/мин не требуется коррекция дозы препарата </w:t>
      </w:r>
      <w:proofErr w:type="spellStart"/>
      <w:r w:rsidRPr="005A5C9F">
        <w:rPr>
          <w:snapToGrid w:val="0"/>
          <w:sz w:val="28"/>
          <w:szCs w:val="28"/>
        </w:rPr>
        <w:t>Летродэй</w:t>
      </w:r>
      <w:proofErr w:type="spellEnd"/>
      <w:r w:rsidRPr="005A5C9F">
        <w:rPr>
          <w:snapToGrid w:val="0"/>
          <w:sz w:val="28"/>
          <w:szCs w:val="28"/>
        </w:rPr>
        <w:t>. Отсутствуют достаточные данные о лечении пациенток с почечной недостаточностью при клиренсе креатинина ниже 10мл/мин.</w:t>
      </w:r>
    </w:p>
    <w:p w14:paraId="426326B5" w14:textId="77777777" w:rsidR="005A5C9F" w:rsidRPr="005A5C9F" w:rsidRDefault="005A5C9F" w:rsidP="0086549E">
      <w:pPr>
        <w:tabs>
          <w:tab w:val="left" w:pos="7938"/>
        </w:tabs>
        <w:ind w:right="-1"/>
        <w:jc w:val="both"/>
        <w:rPr>
          <w:i/>
          <w:iCs/>
          <w:snapToGrid w:val="0"/>
          <w:sz w:val="28"/>
          <w:szCs w:val="28"/>
        </w:rPr>
      </w:pPr>
      <w:r w:rsidRPr="005A5C9F">
        <w:rPr>
          <w:i/>
          <w:iCs/>
          <w:snapToGrid w:val="0"/>
          <w:sz w:val="28"/>
          <w:szCs w:val="28"/>
        </w:rPr>
        <w:t>Пациентам с нарушением функций печени</w:t>
      </w:r>
    </w:p>
    <w:p w14:paraId="70D0C3FE" w14:textId="77777777" w:rsidR="005A5C9F" w:rsidRPr="005A5C9F" w:rsidRDefault="005A5C9F" w:rsidP="0086549E">
      <w:pPr>
        <w:tabs>
          <w:tab w:val="left" w:pos="7938"/>
        </w:tabs>
        <w:ind w:right="-1"/>
        <w:jc w:val="both"/>
        <w:rPr>
          <w:snapToGrid w:val="0"/>
          <w:sz w:val="28"/>
          <w:szCs w:val="28"/>
        </w:rPr>
      </w:pPr>
      <w:r w:rsidRPr="005A5C9F">
        <w:rPr>
          <w:snapToGrid w:val="0"/>
          <w:sz w:val="28"/>
          <w:szCs w:val="28"/>
        </w:rPr>
        <w:t xml:space="preserve">Пациенткам с нарушением функции печени умеренной и средней тяжести (класс А или B по шкале Чайлд-Пью) не требуется коррекция дозы препарата </w:t>
      </w:r>
      <w:bookmarkStart w:id="4" w:name="_Hlk56074059"/>
      <w:proofErr w:type="spellStart"/>
      <w:r w:rsidRPr="005A5C9F">
        <w:rPr>
          <w:snapToGrid w:val="0"/>
          <w:sz w:val="28"/>
          <w:szCs w:val="28"/>
        </w:rPr>
        <w:t>Летродэй</w:t>
      </w:r>
      <w:bookmarkEnd w:id="4"/>
      <w:proofErr w:type="spellEnd"/>
      <w:r w:rsidRPr="005A5C9F">
        <w:rPr>
          <w:snapToGrid w:val="0"/>
          <w:sz w:val="28"/>
          <w:szCs w:val="28"/>
        </w:rPr>
        <w:t>. Отсутствуют достаточные данные о применении препарата у пациентов с тяжелыми нарушениями функции печени. Необходим тщательный контроль пациентов с тяжёлыми нарушениями функции печени (класс С по шкале Чайлд-Пью).</w:t>
      </w:r>
    </w:p>
    <w:p w14:paraId="13FBEA1A" w14:textId="77777777" w:rsidR="005A5C9F" w:rsidRPr="00F37F58" w:rsidRDefault="005A5C9F" w:rsidP="0086549E">
      <w:pPr>
        <w:autoSpaceDE w:val="0"/>
        <w:autoSpaceDN w:val="0"/>
        <w:adjustRightInd w:val="0"/>
        <w:ind w:right="-1"/>
        <w:jc w:val="both"/>
        <w:rPr>
          <w:i/>
          <w:iCs/>
          <w:snapToGrid w:val="0"/>
          <w:sz w:val="28"/>
          <w:szCs w:val="28"/>
        </w:rPr>
      </w:pPr>
      <w:r w:rsidRPr="00F37F58">
        <w:rPr>
          <w:b/>
          <w:i/>
          <w:iCs/>
          <w:snapToGrid w:val="0"/>
          <w:sz w:val="28"/>
          <w:szCs w:val="28"/>
          <w:lang w:bidi="ru-RU"/>
        </w:rPr>
        <w:t>Метод и путь введения</w:t>
      </w:r>
    </w:p>
    <w:p w14:paraId="4250A09E" w14:textId="77777777" w:rsidR="005A5C9F" w:rsidRPr="005A5C9F" w:rsidRDefault="005A5C9F" w:rsidP="0086549E">
      <w:pPr>
        <w:autoSpaceDE w:val="0"/>
        <w:autoSpaceDN w:val="0"/>
        <w:adjustRightInd w:val="0"/>
        <w:ind w:right="-1"/>
        <w:jc w:val="both"/>
        <w:rPr>
          <w:iCs/>
          <w:snapToGrid w:val="0"/>
          <w:sz w:val="28"/>
          <w:szCs w:val="28"/>
        </w:rPr>
      </w:pPr>
      <w:proofErr w:type="spellStart"/>
      <w:r w:rsidRPr="005A5C9F">
        <w:rPr>
          <w:iCs/>
          <w:snapToGrid w:val="0"/>
          <w:sz w:val="28"/>
          <w:szCs w:val="28"/>
        </w:rPr>
        <w:t>Летродэй</w:t>
      </w:r>
      <w:proofErr w:type="spellEnd"/>
      <w:r w:rsidRPr="005A5C9F">
        <w:rPr>
          <w:iCs/>
          <w:snapToGrid w:val="0"/>
          <w:sz w:val="28"/>
          <w:szCs w:val="28"/>
        </w:rPr>
        <w:t xml:space="preserve"> следует принимать внутрь, независимо от приема пищи.</w:t>
      </w:r>
    </w:p>
    <w:p w14:paraId="2A2E9794" w14:textId="77777777" w:rsidR="005A5C9F" w:rsidRPr="005A5C9F" w:rsidRDefault="005A5C9F" w:rsidP="0086549E">
      <w:pPr>
        <w:autoSpaceDE w:val="0"/>
        <w:autoSpaceDN w:val="0"/>
        <w:adjustRightInd w:val="0"/>
        <w:ind w:right="-1"/>
        <w:jc w:val="both"/>
        <w:rPr>
          <w:iCs/>
          <w:snapToGrid w:val="0"/>
          <w:sz w:val="28"/>
          <w:szCs w:val="28"/>
        </w:rPr>
      </w:pPr>
      <w:r w:rsidRPr="005A5C9F">
        <w:rPr>
          <w:iCs/>
          <w:snapToGrid w:val="0"/>
          <w:sz w:val="28"/>
          <w:szCs w:val="28"/>
        </w:rPr>
        <w:t>Пропущенную дозу следует принять сразу как пациентка вспомнит. Однако, если пришло время приема следующей дозы (в течение 2 или 3 часов), пропущенную дозу следует пропустить и продолжать прием препарата в обычном режиме. Дозу не следует удваивать, так как при дозах, превышающих рекомендуемую дозу 2.5 мг, может возникнуть непропорциональное повышение системного воздействия.</w:t>
      </w:r>
    </w:p>
    <w:p w14:paraId="5879DBDC" w14:textId="77777777" w:rsidR="00B11AC3" w:rsidRDefault="008E063D" w:rsidP="001869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8E063D">
        <w:rPr>
          <w:b/>
          <w:bCs/>
          <w:i/>
          <w:color w:val="000000"/>
          <w:spacing w:val="-3"/>
          <w:sz w:val="28"/>
          <w:szCs w:val="28"/>
        </w:rPr>
        <w:t>Меры, которые необходимо принять в случае передозировки</w:t>
      </w:r>
    </w:p>
    <w:p w14:paraId="55F4719E" w14:textId="77777777" w:rsidR="00C176E0" w:rsidRPr="00C176E0" w:rsidRDefault="00C176E0" w:rsidP="00C176E0">
      <w:pPr>
        <w:ind w:right="-1"/>
        <w:jc w:val="both"/>
        <w:rPr>
          <w:bCs/>
          <w:snapToGrid w:val="0"/>
          <w:sz w:val="28"/>
          <w:szCs w:val="28"/>
        </w:rPr>
      </w:pPr>
      <w:r w:rsidRPr="00C176E0">
        <w:rPr>
          <w:bCs/>
          <w:snapToGrid w:val="0"/>
          <w:sz w:val="28"/>
          <w:szCs w:val="28"/>
        </w:rPr>
        <w:t xml:space="preserve">Имеются отдельные сообщения о случаях передозировки </w:t>
      </w:r>
      <w:proofErr w:type="spellStart"/>
      <w:r w:rsidRPr="00C176E0">
        <w:rPr>
          <w:bCs/>
          <w:snapToGrid w:val="0"/>
          <w:sz w:val="28"/>
          <w:szCs w:val="28"/>
        </w:rPr>
        <w:t>летрозолом</w:t>
      </w:r>
      <w:proofErr w:type="spellEnd"/>
      <w:r w:rsidRPr="00C176E0">
        <w:rPr>
          <w:bCs/>
          <w:snapToGrid w:val="0"/>
          <w:sz w:val="28"/>
          <w:szCs w:val="28"/>
        </w:rPr>
        <w:t xml:space="preserve">. </w:t>
      </w:r>
    </w:p>
    <w:p w14:paraId="1DB7AD6A" w14:textId="77777777" w:rsidR="00C176E0" w:rsidRPr="00C176E0" w:rsidRDefault="00C176E0" w:rsidP="00C176E0">
      <w:pPr>
        <w:ind w:right="-1"/>
        <w:jc w:val="both"/>
        <w:rPr>
          <w:bCs/>
          <w:snapToGrid w:val="0"/>
          <w:sz w:val="28"/>
          <w:szCs w:val="28"/>
        </w:rPr>
      </w:pPr>
      <w:r w:rsidRPr="00C176E0">
        <w:rPr>
          <w:bCs/>
          <w:i/>
          <w:snapToGrid w:val="0"/>
          <w:sz w:val="28"/>
          <w:szCs w:val="28"/>
        </w:rPr>
        <w:t>Лечение</w:t>
      </w:r>
      <w:r w:rsidRPr="00C176E0">
        <w:rPr>
          <w:bCs/>
          <w:snapToGrid w:val="0"/>
          <w:sz w:val="28"/>
          <w:szCs w:val="28"/>
        </w:rPr>
        <w:t>: специфический антидот не известен. Показано проведение симптоматической и поддерживающей терапии.</w:t>
      </w:r>
    </w:p>
    <w:p w14:paraId="2A848E61" w14:textId="77777777" w:rsidR="008E063D" w:rsidRDefault="008E063D" w:rsidP="00C35240">
      <w:pPr>
        <w:pStyle w:val="a3"/>
        <w:rPr>
          <w:b/>
          <w:bCs/>
          <w:i/>
          <w:color w:val="000000"/>
          <w:spacing w:val="-3"/>
          <w:szCs w:val="28"/>
        </w:rPr>
      </w:pPr>
    </w:p>
    <w:p w14:paraId="3A56F508" w14:textId="77777777" w:rsidR="00552A2D" w:rsidRPr="00552A2D" w:rsidRDefault="00552A2D" w:rsidP="00552A2D">
      <w:pPr>
        <w:jc w:val="both"/>
        <w:rPr>
          <w:rFonts w:eastAsia="Calibri"/>
          <w:b/>
          <w:sz w:val="28"/>
          <w:szCs w:val="28"/>
          <w:lang w:eastAsia="en-US"/>
        </w:rPr>
      </w:pPr>
      <w:bookmarkStart w:id="5" w:name="2175220282"/>
      <w:r w:rsidRPr="00552A2D">
        <w:rPr>
          <w:b/>
          <w:sz w:val="28"/>
          <w:szCs w:val="28"/>
        </w:rPr>
        <w:t xml:space="preserve">Описание нежелательных реакций, </w:t>
      </w:r>
      <w:r w:rsidRPr="00552A2D">
        <w:rPr>
          <w:rFonts w:eastAsia="Calibri"/>
          <w:b/>
          <w:color w:val="000000"/>
          <w:sz w:val="28"/>
          <w:szCs w:val="28"/>
          <w:lang w:eastAsia="en-US"/>
        </w:rPr>
        <w:t>которые проявляются при стандартном применении ЛП и меры, которые следует принять в этом случае (при необходимости)</w:t>
      </w:r>
    </w:p>
    <w:bookmarkEnd w:id="5"/>
    <w:p w14:paraId="35030CEC" w14:textId="77777777" w:rsidR="0054596A" w:rsidRPr="0054596A" w:rsidRDefault="0054596A" w:rsidP="0054596A">
      <w:pPr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При оценке частоты возникновения разных побочных эффектов использовались такие градации: очень часто (≥10%), часто (≥ 1% до &lt; 10%), иногда </w:t>
      </w:r>
      <w:r>
        <w:rPr>
          <w:color w:val="000000"/>
          <w:sz w:val="28"/>
          <w:lang w:eastAsia="en-US"/>
        </w:rPr>
        <w:t xml:space="preserve"> </w:t>
      </w:r>
      <w:r w:rsidRPr="0054596A">
        <w:rPr>
          <w:color w:val="000000"/>
          <w:sz w:val="28"/>
          <w:lang w:eastAsia="en-US"/>
        </w:rPr>
        <w:t>(≥ 0.1% до &lt; 1%), редко (≥ 0.01%  до  &lt; 0.1%), очень редко (&lt; 0.01%), частота неизвестна (не может быть рассчитана из имеющихся данных)</w:t>
      </w:r>
    </w:p>
    <w:p w14:paraId="51138B7B" w14:textId="77777777" w:rsidR="0054596A" w:rsidRPr="0054596A" w:rsidRDefault="0054596A" w:rsidP="0054596A">
      <w:pPr>
        <w:rPr>
          <w:i/>
          <w:color w:val="000000"/>
          <w:sz w:val="28"/>
          <w:lang w:eastAsia="en-US"/>
        </w:rPr>
      </w:pPr>
      <w:r w:rsidRPr="0054596A">
        <w:rPr>
          <w:i/>
          <w:color w:val="000000"/>
          <w:sz w:val="28"/>
          <w:lang w:eastAsia="en-US"/>
        </w:rPr>
        <w:t>Очень часто</w:t>
      </w:r>
    </w:p>
    <w:p w14:paraId="75DACE0A" w14:textId="77777777" w:rsidR="0054596A" w:rsidRPr="0054596A" w:rsidRDefault="0054596A" w:rsidP="0054596A">
      <w:pPr>
        <w:numPr>
          <w:ilvl w:val="0"/>
          <w:numId w:val="14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proofErr w:type="spellStart"/>
      <w:r w:rsidRPr="0054596A">
        <w:rPr>
          <w:color w:val="000000"/>
          <w:sz w:val="28"/>
          <w:lang w:eastAsia="en-US"/>
        </w:rPr>
        <w:t>гиперхолестеринемия</w:t>
      </w:r>
      <w:proofErr w:type="spellEnd"/>
    </w:p>
    <w:p w14:paraId="661F4619" w14:textId="77777777" w:rsidR="0054596A" w:rsidRPr="0054596A" w:rsidRDefault="0054596A" w:rsidP="0054596A">
      <w:pPr>
        <w:numPr>
          <w:ilvl w:val="0"/>
          <w:numId w:val="14"/>
        </w:numPr>
        <w:tabs>
          <w:tab w:val="left" w:pos="360"/>
        </w:tabs>
        <w:ind w:left="360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боль в суставах</w:t>
      </w:r>
    </w:p>
    <w:p w14:paraId="58D11FA5" w14:textId="77777777" w:rsidR="0054596A" w:rsidRPr="0054596A" w:rsidRDefault="0054596A" w:rsidP="0054596A">
      <w:pPr>
        <w:numPr>
          <w:ilvl w:val="0"/>
          <w:numId w:val="14"/>
        </w:numPr>
        <w:tabs>
          <w:tab w:val="left" w:pos="360"/>
        </w:tabs>
        <w:ind w:left="360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приливы крови </w:t>
      </w:r>
    </w:p>
    <w:p w14:paraId="69B7F2BA" w14:textId="77777777" w:rsidR="0054596A" w:rsidRPr="0054596A" w:rsidRDefault="0054596A" w:rsidP="0054596A">
      <w:pPr>
        <w:numPr>
          <w:ilvl w:val="0"/>
          <w:numId w:val="14"/>
        </w:numPr>
        <w:tabs>
          <w:tab w:val="left" w:pos="360"/>
        </w:tabs>
        <w:ind w:left="360"/>
        <w:rPr>
          <w:color w:val="000000"/>
          <w:sz w:val="28"/>
          <w:lang w:eastAsia="en-US"/>
        </w:rPr>
      </w:pPr>
      <w:proofErr w:type="spellStart"/>
      <w:r w:rsidRPr="0054596A">
        <w:rPr>
          <w:color w:val="000000"/>
          <w:sz w:val="28"/>
          <w:lang w:val="en-US" w:eastAsia="en-US"/>
        </w:rPr>
        <w:t>гипергидро</w:t>
      </w:r>
      <w:proofErr w:type="spellEnd"/>
      <w:r w:rsidRPr="0054596A">
        <w:rPr>
          <w:color w:val="000000"/>
          <w:sz w:val="28"/>
          <w:lang w:eastAsia="en-US"/>
        </w:rPr>
        <w:t>з</w:t>
      </w:r>
    </w:p>
    <w:p w14:paraId="50E7B817" w14:textId="77777777" w:rsidR="0054596A" w:rsidRPr="0054596A" w:rsidRDefault="0054596A" w:rsidP="0054596A">
      <w:pPr>
        <w:numPr>
          <w:ilvl w:val="0"/>
          <w:numId w:val="14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lastRenderedPageBreak/>
        <w:t>повышенная утомляемость (в том числе, астения и недомогание)</w:t>
      </w:r>
    </w:p>
    <w:p w14:paraId="648E211F" w14:textId="77777777" w:rsidR="0054596A" w:rsidRPr="0054596A" w:rsidRDefault="0054596A" w:rsidP="0054596A">
      <w:pPr>
        <w:tabs>
          <w:tab w:val="left" w:pos="360"/>
        </w:tabs>
        <w:ind w:left="360" w:hanging="360"/>
        <w:jc w:val="both"/>
        <w:rPr>
          <w:i/>
          <w:color w:val="000000"/>
          <w:sz w:val="28"/>
          <w:lang w:eastAsia="en-US"/>
        </w:rPr>
      </w:pPr>
      <w:r w:rsidRPr="0054596A">
        <w:rPr>
          <w:i/>
          <w:color w:val="000000"/>
          <w:sz w:val="28"/>
          <w:lang w:eastAsia="en-US"/>
        </w:rPr>
        <w:t>Часто</w:t>
      </w:r>
    </w:p>
    <w:p w14:paraId="3B998924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i/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артериальная гипертензия </w:t>
      </w:r>
    </w:p>
    <w:p w14:paraId="0C2EEC9E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i/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тошнота, рвота, диспепсия, запор, диарея, абдоминальная боль</w:t>
      </w:r>
    </w:p>
    <w:p w14:paraId="7F382842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понижение аппетита, увеличение аппетита, увеличение массы тела </w:t>
      </w:r>
    </w:p>
    <w:p w14:paraId="286D7B64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i/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головная боль, головокружение, </w:t>
      </w:r>
      <w:proofErr w:type="spellStart"/>
      <w:r w:rsidRPr="0054596A">
        <w:rPr>
          <w:color w:val="000000"/>
          <w:sz w:val="28"/>
          <w:lang w:eastAsia="en-US"/>
        </w:rPr>
        <w:t>вертиго</w:t>
      </w:r>
      <w:proofErr w:type="spellEnd"/>
      <w:r w:rsidRPr="0054596A">
        <w:rPr>
          <w:i/>
          <w:color w:val="000000"/>
          <w:sz w:val="28"/>
          <w:lang w:eastAsia="en-US"/>
        </w:rPr>
        <w:t xml:space="preserve"> </w:t>
      </w:r>
    </w:p>
    <w:p w14:paraId="0B237848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алопеция, сухость кожи, сыпь (в том числе, </w:t>
      </w:r>
      <w:proofErr w:type="spellStart"/>
      <w:r w:rsidRPr="0054596A">
        <w:rPr>
          <w:color w:val="000000"/>
          <w:sz w:val="28"/>
          <w:lang w:eastAsia="en-US"/>
        </w:rPr>
        <w:t>эритематозная</w:t>
      </w:r>
      <w:proofErr w:type="spellEnd"/>
      <w:r w:rsidRPr="0054596A">
        <w:rPr>
          <w:color w:val="000000"/>
          <w:sz w:val="28"/>
          <w:lang w:eastAsia="en-US"/>
        </w:rPr>
        <w:t xml:space="preserve">, пятнисто-папулезная, </w:t>
      </w:r>
      <w:proofErr w:type="spellStart"/>
      <w:r w:rsidRPr="0054596A">
        <w:rPr>
          <w:color w:val="000000"/>
          <w:sz w:val="28"/>
          <w:lang w:eastAsia="en-US"/>
        </w:rPr>
        <w:t>псориазоподобная</w:t>
      </w:r>
      <w:proofErr w:type="spellEnd"/>
      <w:r w:rsidRPr="0054596A">
        <w:rPr>
          <w:color w:val="000000"/>
          <w:sz w:val="28"/>
          <w:lang w:eastAsia="en-US"/>
        </w:rPr>
        <w:t xml:space="preserve"> и везикулярная сыпь)</w:t>
      </w:r>
    </w:p>
    <w:p w14:paraId="6ACA2A89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миалгия, боль в костях, остеопороз, переломы костей, артриты, боль в спине, боль в груди</w:t>
      </w:r>
    </w:p>
    <w:p w14:paraId="68CEB570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proofErr w:type="spellStart"/>
      <w:r w:rsidRPr="0054596A">
        <w:rPr>
          <w:color w:val="000000"/>
          <w:sz w:val="28"/>
          <w:lang w:val="en-US" w:eastAsia="en-US"/>
        </w:rPr>
        <w:t>учащенное</w:t>
      </w:r>
      <w:proofErr w:type="spellEnd"/>
      <w:r w:rsidRPr="0054596A">
        <w:rPr>
          <w:color w:val="000000"/>
          <w:sz w:val="28"/>
          <w:lang w:val="en-US" w:eastAsia="en-US"/>
        </w:rPr>
        <w:t xml:space="preserve"> </w:t>
      </w:r>
      <w:proofErr w:type="spellStart"/>
      <w:r w:rsidRPr="0054596A">
        <w:rPr>
          <w:color w:val="000000"/>
          <w:sz w:val="28"/>
          <w:lang w:val="en-US" w:eastAsia="en-US"/>
        </w:rPr>
        <w:t>сердцебиение</w:t>
      </w:r>
      <w:proofErr w:type="spellEnd"/>
    </w:p>
    <w:p w14:paraId="5D138AA3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слабость</w:t>
      </w:r>
    </w:p>
    <w:p w14:paraId="51BA8035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депрессия</w:t>
      </w:r>
    </w:p>
    <w:p w14:paraId="7AD547CB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периферические отеки</w:t>
      </w:r>
    </w:p>
    <w:p w14:paraId="63302F14" w14:textId="77777777" w:rsidR="0054596A" w:rsidRPr="0054596A" w:rsidRDefault="0054596A" w:rsidP="0054596A">
      <w:pPr>
        <w:numPr>
          <w:ilvl w:val="0"/>
          <w:numId w:val="15"/>
        </w:numPr>
        <w:tabs>
          <w:tab w:val="left" w:pos="360"/>
        </w:tabs>
        <w:ind w:left="360"/>
        <w:jc w:val="both"/>
        <w:rPr>
          <w:i/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вагинальные кровотечения</w:t>
      </w:r>
    </w:p>
    <w:p w14:paraId="4A8B07AE" w14:textId="77777777" w:rsidR="0054596A" w:rsidRPr="0054596A" w:rsidRDefault="0054596A" w:rsidP="0054596A">
      <w:pPr>
        <w:tabs>
          <w:tab w:val="left" w:pos="360"/>
        </w:tabs>
        <w:ind w:left="360" w:hanging="360"/>
        <w:jc w:val="both"/>
        <w:rPr>
          <w:i/>
          <w:color w:val="000000"/>
          <w:sz w:val="28"/>
          <w:lang w:eastAsia="en-US"/>
        </w:rPr>
      </w:pPr>
      <w:r w:rsidRPr="0054596A">
        <w:rPr>
          <w:i/>
          <w:color w:val="000000"/>
          <w:sz w:val="28"/>
          <w:lang w:eastAsia="en-US"/>
        </w:rPr>
        <w:t>Иногда</w:t>
      </w:r>
    </w:p>
    <w:p w14:paraId="52B269E3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лейкопения</w:t>
      </w:r>
    </w:p>
    <w:p w14:paraId="219514D7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тахикардия, ишемические сердечно-сосудистые осложнения (в том числе, появление или обострение приступов стенокардии, стенокардия, нуждающаяся в хирургическом вмешательстве, инфаркт миокарда, ишемия миокарда)</w:t>
      </w:r>
    </w:p>
    <w:p w14:paraId="6F4D3ABE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тромбофлебит (в том числе, поверхностных и глубоких вен)</w:t>
      </w:r>
    </w:p>
    <w:p w14:paraId="00D38589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боль в опухолевых очагах (пациенты с метастазами)</w:t>
      </w:r>
    </w:p>
    <w:p w14:paraId="4DB68BA5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беспокойство (в том числе, нервозность), раздражительность</w:t>
      </w:r>
    </w:p>
    <w:p w14:paraId="6F181F97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сонливость, бессонница, ухудшение памяти, </w:t>
      </w:r>
      <w:proofErr w:type="spellStart"/>
      <w:r w:rsidRPr="0054596A">
        <w:rPr>
          <w:color w:val="000000"/>
          <w:sz w:val="28"/>
          <w:lang w:eastAsia="en-US"/>
        </w:rPr>
        <w:t>дизестезия</w:t>
      </w:r>
      <w:proofErr w:type="spellEnd"/>
      <w:r w:rsidRPr="0054596A">
        <w:rPr>
          <w:color w:val="000000"/>
          <w:sz w:val="28"/>
          <w:lang w:eastAsia="en-US"/>
        </w:rPr>
        <w:t xml:space="preserve"> (в том числе, парестезия, гипестезия), нарушение вкусовых ощущений, острое нарушение мозгового кровообращения, синдром запястного канала</w:t>
      </w:r>
    </w:p>
    <w:p w14:paraId="0B80E9AE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одышка, кашель</w:t>
      </w:r>
    </w:p>
    <w:p w14:paraId="6B917B92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стоматит, сухость во рту</w:t>
      </w:r>
    </w:p>
    <w:p w14:paraId="473E7531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повышение уровня печеночных ферментов, </w:t>
      </w:r>
      <w:proofErr w:type="spellStart"/>
      <w:r w:rsidRPr="0054596A">
        <w:rPr>
          <w:color w:val="000000"/>
          <w:sz w:val="28"/>
          <w:lang w:eastAsia="en-US"/>
        </w:rPr>
        <w:t>гипербилирубинемия</w:t>
      </w:r>
      <w:proofErr w:type="spellEnd"/>
      <w:r w:rsidRPr="0054596A">
        <w:rPr>
          <w:color w:val="000000"/>
          <w:sz w:val="28"/>
          <w:lang w:eastAsia="en-US"/>
        </w:rPr>
        <w:t>, желтуха</w:t>
      </w:r>
    </w:p>
    <w:p w14:paraId="4222BB08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инфекции мочевой системы, поллакиурия</w:t>
      </w:r>
    </w:p>
    <w:p w14:paraId="496E00C4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вагинальные кровотечения, </w:t>
      </w:r>
      <w:proofErr w:type="spellStart"/>
      <w:r w:rsidRPr="0054596A">
        <w:rPr>
          <w:color w:val="000000"/>
          <w:sz w:val="28"/>
          <w:lang w:eastAsia="en-US"/>
        </w:rPr>
        <w:t>вульвовагинальная</w:t>
      </w:r>
      <w:proofErr w:type="spellEnd"/>
      <w:r w:rsidRPr="0054596A">
        <w:rPr>
          <w:color w:val="000000"/>
          <w:sz w:val="28"/>
          <w:lang w:eastAsia="en-US"/>
        </w:rPr>
        <w:t xml:space="preserve"> сухость, боль в молочных железах</w:t>
      </w:r>
    </w:p>
    <w:p w14:paraId="1C203765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катаракта, раздражение глаз, затуманенное зрение</w:t>
      </w:r>
    </w:p>
    <w:p w14:paraId="1AF9EF84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зуд, крапивница</w:t>
      </w:r>
    </w:p>
    <w:p w14:paraId="01665BEC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генерализованные отеки, повышение температуры, сухость слизистых оболочек, жажда</w:t>
      </w:r>
    </w:p>
    <w:p w14:paraId="4EE10C5B" w14:textId="77777777" w:rsidR="0054596A" w:rsidRPr="0054596A" w:rsidRDefault="0054596A" w:rsidP="0054596A">
      <w:pPr>
        <w:numPr>
          <w:ilvl w:val="0"/>
          <w:numId w:val="16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потеря веса</w:t>
      </w:r>
    </w:p>
    <w:p w14:paraId="2AA3CB90" w14:textId="77777777" w:rsidR="0054596A" w:rsidRPr="0054596A" w:rsidRDefault="0054596A" w:rsidP="0054596A">
      <w:pPr>
        <w:tabs>
          <w:tab w:val="left" w:pos="360"/>
        </w:tabs>
        <w:ind w:left="360" w:hanging="360"/>
        <w:jc w:val="both"/>
        <w:rPr>
          <w:color w:val="000000"/>
          <w:sz w:val="28"/>
          <w:lang w:eastAsia="en-US"/>
        </w:rPr>
      </w:pPr>
      <w:r w:rsidRPr="0054596A">
        <w:rPr>
          <w:i/>
          <w:color w:val="000000"/>
          <w:sz w:val="28"/>
          <w:lang w:eastAsia="en-US"/>
        </w:rPr>
        <w:t xml:space="preserve"> Редко</w:t>
      </w:r>
    </w:p>
    <w:p w14:paraId="68C523B5" w14:textId="77777777" w:rsidR="0054596A" w:rsidRPr="0054596A" w:rsidRDefault="0054596A" w:rsidP="0054596A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легочная эмболия, артериальный тромбоз, цереброваскулярный инфаркт</w:t>
      </w:r>
    </w:p>
    <w:p w14:paraId="6DF7D322" w14:textId="77777777" w:rsidR="0054596A" w:rsidRPr="0054596A" w:rsidRDefault="0054596A" w:rsidP="0054596A">
      <w:pPr>
        <w:tabs>
          <w:tab w:val="left" w:pos="360"/>
        </w:tabs>
        <w:ind w:left="360" w:hanging="360"/>
        <w:jc w:val="both"/>
        <w:rPr>
          <w:i/>
          <w:color w:val="000000"/>
          <w:sz w:val="28"/>
          <w:lang w:eastAsia="en-US"/>
        </w:rPr>
      </w:pPr>
      <w:r w:rsidRPr="0054596A">
        <w:rPr>
          <w:i/>
          <w:color w:val="000000"/>
          <w:sz w:val="28"/>
          <w:lang w:eastAsia="en-US"/>
        </w:rPr>
        <w:t>Очень редко</w:t>
      </w:r>
    </w:p>
    <w:p w14:paraId="576BAD45" w14:textId="77777777" w:rsidR="0054596A" w:rsidRPr="0054596A" w:rsidRDefault="0054596A" w:rsidP="0054596A">
      <w:pPr>
        <w:numPr>
          <w:ilvl w:val="0"/>
          <w:numId w:val="18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lastRenderedPageBreak/>
        <w:t>гепатит</w:t>
      </w:r>
    </w:p>
    <w:p w14:paraId="58E31BE3" w14:textId="77777777" w:rsidR="0054596A" w:rsidRPr="0054596A" w:rsidRDefault="0054596A" w:rsidP="0054596A">
      <w:pPr>
        <w:tabs>
          <w:tab w:val="left" w:pos="360"/>
        </w:tabs>
        <w:ind w:left="360" w:hanging="360"/>
        <w:jc w:val="both"/>
        <w:rPr>
          <w:i/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    </w:t>
      </w:r>
      <w:r w:rsidRPr="0054596A">
        <w:rPr>
          <w:i/>
          <w:color w:val="000000"/>
          <w:sz w:val="28"/>
          <w:lang w:eastAsia="en-US"/>
        </w:rPr>
        <w:t>Частота неизвестна</w:t>
      </w:r>
    </w:p>
    <w:p w14:paraId="1BB1BBEB" w14:textId="77777777" w:rsidR="0054596A" w:rsidRPr="0054596A" w:rsidRDefault="0054596A" w:rsidP="0054596A">
      <w:pPr>
        <w:numPr>
          <w:ilvl w:val="0"/>
          <w:numId w:val="19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анафилактические реакции</w:t>
      </w:r>
    </w:p>
    <w:p w14:paraId="0C82E1CB" w14:textId="77777777" w:rsidR="0054596A" w:rsidRPr="0054596A" w:rsidRDefault="0054596A" w:rsidP="0054596A">
      <w:pPr>
        <w:numPr>
          <w:ilvl w:val="0"/>
          <w:numId w:val="19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ангионевротический отек, токсический эпидермальный </w:t>
      </w:r>
      <w:proofErr w:type="spellStart"/>
      <w:r w:rsidRPr="0054596A">
        <w:rPr>
          <w:color w:val="000000"/>
          <w:sz w:val="28"/>
          <w:lang w:eastAsia="en-US"/>
        </w:rPr>
        <w:t>некролиз</w:t>
      </w:r>
      <w:proofErr w:type="spellEnd"/>
      <w:r w:rsidRPr="0054596A">
        <w:rPr>
          <w:color w:val="000000"/>
          <w:sz w:val="28"/>
          <w:lang w:eastAsia="en-US"/>
        </w:rPr>
        <w:t xml:space="preserve">, </w:t>
      </w:r>
      <w:proofErr w:type="spellStart"/>
      <w:r w:rsidRPr="0054596A">
        <w:rPr>
          <w:color w:val="000000"/>
          <w:sz w:val="28"/>
          <w:lang w:eastAsia="en-US"/>
        </w:rPr>
        <w:t>мультиформная</w:t>
      </w:r>
      <w:proofErr w:type="spellEnd"/>
      <w:r w:rsidRPr="0054596A">
        <w:rPr>
          <w:color w:val="000000"/>
          <w:sz w:val="28"/>
          <w:lang w:eastAsia="en-US"/>
        </w:rPr>
        <w:t xml:space="preserve"> эритема</w:t>
      </w:r>
    </w:p>
    <w:p w14:paraId="141CDDCC" w14:textId="77777777" w:rsidR="0054596A" w:rsidRPr="0054596A" w:rsidRDefault="0054596A" w:rsidP="0054596A">
      <w:pPr>
        <w:numPr>
          <w:ilvl w:val="0"/>
          <w:numId w:val="19"/>
        </w:numPr>
        <w:tabs>
          <w:tab w:val="left" w:pos="360"/>
        </w:tabs>
        <w:ind w:left="360"/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>триггерный палец</w:t>
      </w:r>
    </w:p>
    <w:p w14:paraId="3275A5AA" w14:textId="77777777" w:rsidR="0054596A" w:rsidRPr="0054596A" w:rsidRDefault="0054596A" w:rsidP="0054596A">
      <w:pPr>
        <w:tabs>
          <w:tab w:val="left" w:pos="360"/>
        </w:tabs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При </w:t>
      </w:r>
      <w:proofErr w:type="spellStart"/>
      <w:r w:rsidRPr="0054596A">
        <w:rPr>
          <w:color w:val="000000"/>
          <w:sz w:val="28"/>
          <w:lang w:eastAsia="en-US"/>
        </w:rPr>
        <w:t>адъювантной</w:t>
      </w:r>
      <w:proofErr w:type="spellEnd"/>
      <w:r w:rsidRPr="0054596A">
        <w:rPr>
          <w:color w:val="000000"/>
          <w:sz w:val="28"/>
          <w:lang w:eastAsia="en-US"/>
        </w:rPr>
        <w:t xml:space="preserve"> терапии, когда пациенты принимали </w:t>
      </w:r>
      <w:proofErr w:type="spellStart"/>
      <w:r w:rsidR="00BD4FAA">
        <w:rPr>
          <w:color w:val="000000"/>
          <w:sz w:val="28"/>
          <w:lang w:eastAsia="en-US"/>
        </w:rPr>
        <w:t>летрозол</w:t>
      </w:r>
      <w:proofErr w:type="spellEnd"/>
      <w:r w:rsidRPr="0054596A">
        <w:rPr>
          <w:color w:val="000000"/>
          <w:sz w:val="28"/>
          <w:lang w:eastAsia="en-US"/>
        </w:rPr>
        <w:t xml:space="preserve"> и тамоксифен в среднем в течение 5 лет, соответственно были отмечены такие побочные реакции как: стенокардия, нуждающаяся в хирургическом вмешательстве (1.0% в сравнении с 1.0%), сердечная недостаточность (1.1% в сравнении с 0.6%), артериальная гипертензия (5.6% в сравнении с 5.7%), ишемический инсульт/транзиторные нарушения мозгового кровообращения (2.1% в сравнении с 1.9%).</w:t>
      </w:r>
    </w:p>
    <w:p w14:paraId="66613A54" w14:textId="77777777" w:rsidR="0054596A" w:rsidRPr="0054596A" w:rsidRDefault="0054596A" w:rsidP="0054596A">
      <w:pPr>
        <w:tabs>
          <w:tab w:val="left" w:pos="360"/>
        </w:tabs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При расширенной </w:t>
      </w:r>
      <w:proofErr w:type="spellStart"/>
      <w:r w:rsidRPr="0054596A">
        <w:rPr>
          <w:color w:val="000000"/>
          <w:sz w:val="28"/>
          <w:lang w:eastAsia="en-US"/>
        </w:rPr>
        <w:t>адъювантной</w:t>
      </w:r>
      <w:proofErr w:type="spellEnd"/>
      <w:r w:rsidRPr="0054596A">
        <w:rPr>
          <w:color w:val="000000"/>
          <w:sz w:val="28"/>
          <w:lang w:eastAsia="en-US"/>
        </w:rPr>
        <w:t xml:space="preserve"> терапии препаратом </w:t>
      </w:r>
      <w:proofErr w:type="spellStart"/>
      <w:r w:rsidR="00BD4FAA">
        <w:rPr>
          <w:color w:val="000000"/>
          <w:sz w:val="28"/>
          <w:lang w:eastAsia="en-US"/>
        </w:rPr>
        <w:t>летрозол</w:t>
      </w:r>
      <w:proofErr w:type="spellEnd"/>
      <w:r w:rsidRPr="0054596A">
        <w:rPr>
          <w:sz w:val="28"/>
          <w:vertAlign w:val="superscript"/>
          <w:lang w:eastAsia="en-US"/>
        </w:rPr>
        <w:t xml:space="preserve"> </w:t>
      </w:r>
      <w:r w:rsidRPr="0054596A">
        <w:rPr>
          <w:color w:val="000000"/>
          <w:sz w:val="28"/>
          <w:lang w:eastAsia="en-US"/>
        </w:rPr>
        <w:t>в среднем в течение 5 лет и плацебо в течение 3 лет, были отмечены такие побочные реакции как: стенокардия, нуждающаяся в хирургическом вмешательстве (0.8% в сравнении с 0.6%), впервые диагностированная стенокардия или ухудшение ее течения (1.4% в сравнении с 1.0%), инфаркт миокарда (1.0% в сравнении с 0.7%), тромбоэмболические нарушения (0.9% в сравнении с 0.3%), ишемический инсульт/транзиторные нарушения мозгового кровообращения (1.5% в сравнении с 0.8%).</w:t>
      </w:r>
    </w:p>
    <w:p w14:paraId="3B07A4F9" w14:textId="77777777" w:rsidR="0054596A" w:rsidRPr="0054596A" w:rsidRDefault="0054596A" w:rsidP="0054596A">
      <w:pPr>
        <w:tabs>
          <w:tab w:val="left" w:pos="360"/>
        </w:tabs>
        <w:jc w:val="both"/>
        <w:rPr>
          <w:color w:val="000000"/>
          <w:sz w:val="28"/>
          <w:lang w:eastAsia="en-US"/>
        </w:rPr>
      </w:pPr>
      <w:r w:rsidRPr="0054596A">
        <w:rPr>
          <w:color w:val="000000"/>
          <w:sz w:val="28"/>
          <w:lang w:eastAsia="en-US"/>
        </w:rPr>
        <w:t xml:space="preserve">При расширенной </w:t>
      </w:r>
      <w:proofErr w:type="spellStart"/>
      <w:r w:rsidRPr="0054596A">
        <w:rPr>
          <w:color w:val="000000"/>
          <w:sz w:val="28"/>
          <w:lang w:eastAsia="en-US"/>
        </w:rPr>
        <w:t>адъювантной</w:t>
      </w:r>
      <w:proofErr w:type="spellEnd"/>
      <w:r w:rsidRPr="0054596A">
        <w:rPr>
          <w:color w:val="000000"/>
          <w:sz w:val="28"/>
          <w:lang w:eastAsia="en-US"/>
        </w:rPr>
        <w:t xml:space="preserve"> терапии у пациентов, получавших </w:t>
      </w:r>
      <w:proofErr w:type="spellStart"/>
      <w:r w:rsidR="00BD4FAA">
        <w:rPr>
          <w:color w:val="000000"/>
          <w:sz w:val="28"/>
          <w:lang w:eastAsia="en-US"/>
        </w:rPr>
        <w:t>летрозол</w:t>
      </w:r>
      <w:proofErr w:type="spellEnd"/>
      <w:r w:rsidRPr="0054596A">
        <w:rPr>
          <w:color w:val="000000"/>
          <w:sz w:val="28"/>
          <w:lang w:eastAsia="en-US"/>
        </w:rPr>
        <w:t xml:space="preserve">, в большей степени наблюдались переломы костей и остеопороз (переломы костей у 10.4%, остеопороз у 12.2% пациентов), чем у пациентов, получавших плацебо (5.8% и 6.4% соответственно). Средняя продолжительность терапии </w:t>
      </w:r>
      <w:proofErr w:type="spellStart"/>
      <w:r w:rsidR="00BD4FAA">
        <w:rPr>
          <w:color w:val="000000"/>
          <w:sz w:val="28"/>
          <w:lang w:eastAsia="en-US"/>
        </w:rPr>
        <w:t>летрозол</w:t>
      </w:r>
      <w:r w:rsidR="00234F0F">
        <w:rPr>
          <w:color w:val="000000"/>
          <w:sz w:val="28"/>
          <w:lang w:eastAsia="en-US"/>
        </w:rPr>
        <w:t>ом</w:t>
      </w:r>
      <w:proofErr w:type="spellEnd"/>
      <w:r w:rsidRPr="0054596A">
        <w:rPr>
          <w:color w:val="000000"/>
          <w:sz w:val="28"/>
          <w:lang w:eastAsia="en-US"/>
        </w:rPr>
        <w:t xml:space="preserve"> составила 5 лет, в сравнении с терапией плацебо 3 года.</w:t>
      </w:r>
    </w:p>
    <w:p w14:paraId="2F50B2FC" w14:textId="77777777" w:rsidR="0047616F" w:rsidRPr="0047616F" w:rsidRDefault="0047616F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8"/>
          <w:sz w:val="28"/>
          <w:szCs w:val="28"/>
        </w:rPr>
      </w:pPr>
    </w:p>
    <w:p w14:paraId="45EF2ECF" w14:textId="77777777" w:rsidR="0047616F" w:rsidRPr="0047616F" w:rsidRDefault="003B14A9" w:rsidP="003B14A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3B14A9">
        <w:rPr>
          <w:rFonts w:eastAsia="Calibri"/>
          <w:b/>
          <w:color w:val="000000"/>
          <w:sz w:val="28"/>
          <w:szCs w:val="22"/>
          <w:lang w:eastAsia="en-US"/>
        </w:rPr>
        <w:t xml:space="preserve">При возникновении </w:t>
      </w:r>
      <w:r w:rsidR="00946E78">
        <w:rPr>
          <w:rFonts w:eastAsia="Calibri"/>
          <w:b/>
          <w:color w:val="000000"/>
          <w:sz w:val="28"/>
          <w:szCs w:val="22"/>
          <w:lang w:eastAsia="en-US"/>
        </w:rPr>
        <w:t>нежелательных</w:t>
      </w:r>
      <w:r w:rsidRPr="003B14A9">
        <w:rPr>
          <w:rFonts w:eastAsia="Calibri"/>
          <w:b/>
          <w:color w:val="000000"/>
          <w:sz w:val="28"/>
          <w:szCs w:val="22"/>
          <w:lang w:eastAsia="en-US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03E39D0F" w14:textId="77777777" w:rsidR="00694DBD" w:rsidRPr="00694DBD" w:rsidRDefault="00694DBD" w:rsidP="00694DBD">
      <w:pPr>
        <w:jc w:val="both"/>
        <w:rPr>
          <w:sz w:val="28"/>
          <w:szCs w:val="28"/>
        </w:rPr>
      </w:pPr>
      <w:r w:rsidRPr="00694DBD">
        <w:rPr>
          <w:sz w:val="28"/>
          <w:szCs w:val="28"/>
        </w:rPr>
        <w:t xml:space="preserve">РГП на ПХВ «Национальный Центр экспертизы лекарственных средств и медицинских изделий» Комитета </w:t>
      </w:r>
      <w:r w:rsidR="00E04091">
        <w:rPr>
          <w:sz w:val="28"/>
          <w:szCs w:val="28"/>
        </w:rPr>
        <w:t xml:space="preserve">медицинского и фармацевтического </w:t>
      </w:r>
      <w:r w:rsidRPr="00694DBD">
        <w:rPr>
          <w:sz w:val="28"/>
          <w:szCs w:val="28"/>
        </w:rPr>
        <w:t>контроля Министерства здравоохранения Республики Казахстан</w:t>
      </w:r>
    </w:p>
    <w:p w14:paraId="4E0D0477" w14:textId="77777777" w:rsidR="00694DBD" w:rsidRPr="00694DBD" w:rsidRDefault="00F45BB6" w:rsidP="00694DBD">
      <w:pPr>
        <w:keepNext/>
        <w:jc w:val="both"/>
        <w:rPr>
          <w:sz w:val="28"/>
          <w:szCs w:val="28"/>
        </w:rPr>
      </w:pPr>
      <w:hyperlink r:id="rId8" w:history="1">
        <w:r w:rsidR="00694DBD" w:rsidRPr="00694DBD">
          <w:rPr>
            <w:sz w:val="28"/>
            <w:szCs w:val="28"/>
            <w:u w:val="single"/>
            <w:lang w:val="en-US"/>
          </w:rPr>
          <w:t>http</w:t>
        </w:r>
        <w:r w:rsidR="00694DBD" w:rsidRPr="00694DBD">
          <w:rPr>
            <w:sz w:val="28"/>
            <w:szCs w:val="28"/>
            <w:u w:val="single"/>
          </w:rPr>
          <w:t>://</w:t>
        </w:r>
        <w:r w:rsidR="00694DBD" w:rsidRPr="00694DBD">
          <w:rPr>
            <w:sz w:val="28"/>
            <w:szCs w:val="28"/>
            <w:u w:val="single"/>
            <w:lang w:val="en-US"/>
          </w:rPr>
          <w:t>www</w:t>
        </w:r>
        <w:r w:rsidR="00694DBD" w:rsidRPr="00694DBD">
          <w:rPr>
            <w:sz w:val="28"/>
            <w:szCs w:val="28"/>
            <w:u w:val="single"/>
          </w:rPr>
          <w:t>.</w:t>
        </w:r>
        <w:proofErr w:type="spellStart"/>
        <w:r w:rsidR="00694DBD" w:rsidRPr="00694DBD">
          <w:rPr>
            <w:sz w:val="28"/>
            <w:szCs w:val="28"/>
            <w:u w:val="single"/>
            <w:lang w:val="en-US"/>
          </w:rPr>
          <w:t>ndda</w:t>
        </w:r>
        <w:proofErr w:type="spellEnd"/>
        <w:r w:rsidR="00694DBD" w:rsidRPr="00694DBD">
          <w:rPr>
            <w:sz w:val="28"/>
            <w:szCs w:val="28"/>
            <w:u w:val="single"/>
          </w:rPr>
          <w:t>.</w:t>
        </w:r>
        <w:proofErr w:type="spellStart"/>
        <w:r w:rsidR="00694DBD" w:rsidRPr="00694DBD">
          <w:rPr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64713606" w14:textId="77777777" w:rsidR="00383DCD" w:rsidRDefault="00383DCD" w:rsidP="00454FB8">
      <w:pPr>
        <w:jc w:val="both"/>
        <w:rPr>
          <w:color w:val="000000"/>
          <w:sz w:val="28"/>
          <w:lang w:eastAsia="cs-CZ"/>
        </w:rPr>
      </w:pPr>
    </w:p>
    <w:p w14:paraId="66327A7D" w14:textId="77777777" w:rsidR="003B14A9" w:rsidRPr="003B14A9" w:rsidRDefault="003B14A9" w:rsidP="003B14A9">
      <w:pPr>
        <w:jc w:val="both"/>
        <w:rPr>
          <w:b/>
          <w:color w:val="000000"/>
          <w:sz w:val="28"/>
          <w:lang w:eastAsia="cs-CZ"/>
        </w:rPr>
      </w:pPr>
      <w:r w:rsidRPr="003B14A9">
        <w:rPr>
          <w:b/>
          <w:color w:val="000000"/>
          <w:sz w:val="28"/>
          <w:lang w:eastAsia="cs-CZ"/>
        </w:rPr>
        <w:t>Дополнительные сведения</w:t>
      </w:r>
    </w:p>
    <w:p w14:paraId="39920658" w14:textId="77777777" w:rsidR="003B14A9" w:rsidRPr="003B14A9" w:rsidRDefault="003B14A9" w:rsidP="003B14A9">
      <w:pPr>
        <w:jc w:val="both"/>
        <w:rPr>
          <w:i/>
          <w:color w:val="000000"/>
          <w:sz w:val="28"/>
          <w:lang w:eastAsia="cs-CZ"/>
        </w:rPr>
      </w:pPr>
      <w:bookmarkStart w:id="6" w:name="2175220285"/>
      <w:r w:rsidRPr="003B14A9">
        <w:rPr>
          <w:b/>
          <w:i/>
          <w:color w:val="000000"/>
          <w:sz w:val="28"/>
          <w:lang w:eastAsia="cs-CZ"/>
        </w:rPr>
        <w:t xml:space="preserve">Состав лекарственного препарата </w:t>
      </w:r>
    </w:p>
    <w:bookmarkEnd w:id="6"/>
    <w:p w14:paraId="320A3E41" w14:textId="77777777" w:rsidR="003B14A9" w:rsidRPr="003B14A9" w:rsidRDefault="003B14A9" w:rsidP="003B14A9">
      <w:pPr>
        <w:jc w:val="both"/>
        <w:rPr>
          <w:color w:val="000000"/>
          <w:sz w:val="28"/>
          <w:lang w:eastAsia="cs-CZ"/>
        </w:rPr>
      </w:pPr>
      <w:r w:rsidRPr="003B14A9">
        <w:rPr>
          <w:color w:val="000000"/>
          <w:sz w:val="28"/>
          <w:lang w:eastAsia="cs-CZ"/>
        </w:rPr>
        <w:t xml:space="preserve">Одна </w:t>
      </w:r>
      <w:proofErr w:type="spellStart"/>
      <w:r w:rsidRPr="003B14A9">
        <w:rPr>
          <w:color w:val="000000"/>
          <w:sz w:val="28"/>
          <w:lang w:eastAsia="cs-CZ"/>
        </w:rPr>
        <w:t>таблетк</w:t>
      </w:r>
      <w:proofErr w:type="spellEnd"/>
      <w:r w:rsidRPr="003B14A9">
        <w:rPr>
          <w:color w:val="000000"/>
          <w:sz w:val="28"/>
          <w:lang w:val="pl-PL" w:eastAsia="cs-CZ"/>
        </w:rPr>
        <w:t>a</w:t>
      </w:r>
      <w:r w:rsidRPr="003B14A9">
        <w:rPr>
          <w:color w:val="000000"/>
          <w:sz w:val="28"/>
          <w:lang w:eastAsia="cs-CZ"/>
        </w:rPr>
        <w:t xml:space="preserve"> содержит </w:t>
      </w:r>
    </w:p>
    <w:p w14:paraId="4E0306C0" w14:textId="77777777" w:rsidR="003B14A9" w:rsidRPr="00F946FC" w:rsidRDefault="003B14A9" w:rsidP="003B14A9">
      <w:pPr>
        <w:jc w:val="both"/>
        <w:rPr>
          <w:color w:val="000000"/>
          <w:sz w:val="28"/>
          <w:lang w:eastAsia="cs-CZ"/>
        </w:rPr>
      </w:pPr>
      <w:r w:rsidRPr="003B14A9">
        <w:rPr>
          <w:i/>
          <w:color w:val="000000"/>
          <w:sz w:val="28"/>
          <w:lang w:eastAsia="cs-CZ"/>
        </w:rPr>
        <w:t>активное вещество</w:t>
      </w:r>
      <w:r w:rsidRPr="003B14A9">
        <w:rPr>
          <w:color w:val="000000"/>
          <w:sz w:val="28"/>
          <w:lang w:eastAsia="cs-CZ"/>
        </w:rPr>
        <w:t xml:space="preserve"> - </w:t>
      </w:r>
      <w:proofErr w:type="spellStart"/>
      <w:r w:rsidR="00C136FE">
        <w:rPr>
          <w:color w:val="000000"/>
          <w:sz w:val="28"/>
          <w:lang w:eastAsia="cs-CZ"/>
        </w:rPr>
        <w:t>летрозол</w:t>
      </w:r>
      <w:proofErr w:type="spellEnd"/>
      <w:r w:rsidR="00C136FE">
        <w:rPr>
          <w:color w:val="000000"/>
          <w:sz w:val="28"/>
          <w:lang w:eastAsia="cs-CZ"/>
        </w:rPr>
        <w:t xml:space="preserve"> 2.5</w:t>
      </w:r>
      <w:r w:rsidR="003F2447">
        <w:rPr>
          <w:color w:val="000000"/>
          <w:sz w:val="28"/>
          <w:lang w:eastAsia="cs-CZ"/>
        </w:rPr>
        <w:t>0 мг</w:t>
      </w:r>
      <w:r w:rsidR="00F946FC">
        <w:rPr>
          <w:color w:val="000000"/>
          <w:sz w:val="28"/>
          <w:lang w:eastAsia="cs-CZ"/>
        </w:rPr>
        <w:t>;</w:t>
      </w:r>
    </w:p>
    <w:p w14:paraId="6526C3FF" w14:textId="77777777" w:rsidR="003B14A9" w:rsidRDefault="003B14A9" w:rsidP="00C136FE">
      <w:pPr>
        <w:jc w:val="both"/>
        <w:rPr>
          <w:color w:val="000000"/>
          <w:sz w:val="28"/>
          <w:lang w:eastAsia="cs-CZ"/>
        </w:rPr>
      </w:pPr>
      <w:r w:rsidRPr="003B14A9">
        <w:rPr>
          <w:i/>
          <w:color w:val="000000"/>
          <w:sz w:val="28"/>
          <w:lang w:eastAsia="cs-CZ"/>
        </w:rPr>
        <w:t>вспомогательные вещества:</w:t>
      </w:r>
      <w:r w:rsidRPr="003B14A9">
        <w:rPr>
          <w:color w:val="000000"/>
          <w:sz w:val="28"/>
          <w:lang w:eastAsia="cs-CZ"/>
        </w:rPr>
        <w:t xml:space="preserve"> </w:t>
      </w:r>
      <w:r w:rsidR="00C136FE">
        <w:rPr>
          <w:color w:val="000000"/>
          <w:sz w:val="28"/>
          <w:lang w:eastAsia="cs-CZ"/>
        </w:rPr>
        <w:t>лактозы моногидрат, ц</w:t>
      </w:r>
      <w:r w:rsidR="00C136FE" w:rsidRPr="00C136FE">
        <w:rPr>
          <w:color w:val="000000"/>
          <w:sz w:val="28"/>
          <w:lang w:eastAsia="cs-CZ"/>
        </w:rPr>
        <w:t>еллюлоза микрокристаллическая (класс 101)</w:t>
      </w:r>
      <w:r w:rsidR="00C136FE">
        <w:rPr>
          <w:color w:val="000000"/>
          <w:sz w:val="28"/>
          <w:lang w:eastAsia="cs-CZ"/>
        </w:rPr>
        <w:t>, н</w:t>
      </w:r>
      <w:r w:rsidR="00C136FE" w:rsidRPr="00C136FE">
        <w:rPr>
          <w:color w:val="000000"/>
          <w:sz w:val="28"/>
          <w:lang w:eastAsia="cs-CZ"/>
        </w:rPr>
        <w:t xml:space="preserve">атрия крахмала </w:t>
      </w:r>
      <w:proofErr w:type="spellStart"/>
      <w:r w:rsidR="00C136FE" w:rsidRPr="00C136FE">
        <w:rPr>
          <w:color w:val="000000"/>
          <w:sz w:val="28"/>
          <w:lang w:eastAsia="cs-CZ"/>
        </w:rPr>
        <w:t>гликол</w:t>
      </w:r>
      <w:r w:rsidR="00946E78">
        <w:rPr>
          <w:color w:val="000000"/>
          <w:sz w:val="28"/>
          <w:lang w:eastAsia="cs-CZ"/>
        </w:rPr>
        <w:t>я</w:t>
      </w:r>
      <w:r w:rsidR="00C136FE" w:rsidRPr="00C136FE">
        <w:rPr>
          <w:color w:val="000000"/>
          <w:sz w:val="28"/>
          <w:lang w:eastAsia="cs-CZ"/>
        </w:rPr>
        <w:t>т</w:t>
      </w:r>
      <w:proofErr w:type="spellEnd"/>
      <w:r w:rsidR="00C136FE" w:rsidRPr="00C136FE">
        <w:rPr>
          <w:color w:val="000000"/>
          <w:sz w:val="28"/>
          <w:lang w:eastAsia="cs-CZ"/>
        </w:rPr>
        <w:t xml:space="preserve"> (тип А)</w:t>
      </w:r>
      <w:r w:rsidR="00C136FE">
        <w:rPr>
          <w:color w:val="000000"/>
          <w:sz w:val="28"/>
          <w:lang w:eastAsia="cs-CZ"/>
        </w:rPr>
        <w:t xml:space="preserve">, </w:t>
      </w:r>
      <w:r w:rsidR="008A3E71">
        <w:rPr>
          <w:color w:val="000000"/>
          <w:sz w:val="28"/>
          <w:lang w:eastAsia="cs-CZ"/>
        </w:rPr>
        <w:t xml:space="preserve">вода </w:t>
      </w:r>
      <w:r w:rsidR="008A3E71">
        <w:rPr>
          <w:color w:val="000000"/>
          <w:sz w:val="28"/>
          <w:lang w:eastAsia="cs-CZ"/>
        </w:rPr>
        <w:lastRenderedPageBreak/>
        <w:t xml:space="preserve">очищенная, </w:t>
      </w:r>
      <w:r w:rsidR="00C136FE">
        <w:rPr>
          <w:color w:val="000000"/>
          <w:sz w:val="28"/>
          <w:lang w:eastAsia="cs-CZ"/>
        </w:rPr>
        <w:t>крахмал кукурузный, к</w:t>
      </w:r>
      <w:r w:rsidR="00C136FE" w:rsidRPr="00C136FE">
        <w:rPr>
          <w:color w:val="000000"/>
          <w:sz w:val="28"/>
          <w:lang w:eastAsia="cs-CZ"/>
        </w:rPr>
        <w:t>ремн</w:t>
      </w:r>
      <w:r w:rsidR="00C136FE">
        <w:rPr>
          <w:color w:val="000000"/>
          <w:sz w:val="28"/>
          <w:lang w:eastAsia="cs-CZ"/>
        </w:rPr>
        <w:t>ия диоксид коллоидный безводный, м</w:t>
      </w:r>
      <w:r w:rsidR="00C136FE" w:rsidRPr="00C136FE">
        <w:rPr>
          <w:color w:val="000000"/>
          <w:sz w:val="28"/>
          <w:lang w:eastAsia="cs-CZ"/>
        </w:rPr>
        <w:t xml:space="preserve">агния </w:t>
      </w:r>
      <w:proofErr w:type="spellStart"/>
      <w:r w:rsidR="00C136FE" w:rsidRPr="00C136FE">
        <w:rPr>
          <w:color w:val="000000"/>
          <w:sz w:val="28"/>
          <w:lang w:eastAsia="cs-CZ"/>
        </w:rPr>
        <w:t>стеарат</w:t>
      </w:r>
      <w:proofErr w:type="spellEnd"/>
      <w:r w:rsidR="00F946FC">
        <w:rPr>
          <w:color w:val="000000"/>
          <w:sz w:val="28"/>
          <w:lang w:eastAsia="cs-CZ"/>
        </w:rPr>
        <w:t>;</w:t>
      </w:r>
    </w:p>
    <w:p w14:paraId="1B39FC15" w14:textId="77777777" w:rsidR="00F058CC" w:rsidRDefault="008A3E71" w:rsidP="003B14A9">
      <w:pPr>
        <w:jc w:val="both"/>
        <w:rPr>
          <w:color w:val="000000"/>
          <w:sz w:val="28"/>
          <w:lang w:eastAsia="cs-CZ"/>
        </w:rPr>
      </w:pPr>
      <w:r>
        <w:rPr>
          <w:i/>
          <w:color w:val="000000"/>
          <w:sz w:val="28"/>
          <w:lang w:eastAsia="cs-CZ"/>
        </w:rPr>
        <w:t>оболочка</w:t>
      </w:r>
      <w:r w:rsidR="00F058CC" w:rsidRPr="004700F1">
        <w:rPr>
          <w:i/>
          <w:color w:val="000000"/>
          <w:sz w:val="28"/>
          <w:lang w:eastAsia="cs-CZ"/>
        </w:rPr>
        <w:t xml:space="preserve"> </w:t>
      </w:r>
      <w:proofErr w:type="spellStart"/>
      <w:r w:rsidR="00C136FE" w:rsidRPr="00C136FE">
        <w:rPr>
          <w:i/>
          <w:color w:val="000000"/>
          <w:sz w:val="28"/>
          <w:lang w:eastAsia="cs-CZ"/>
        </w:rPr>
        <w:t>Опадрай</w:t>
      </w:r>
      <w:proofErr w:type="spellEnd"/>
      <w:r w:rsidR="00C136FE" w:rsidRPr="00C136FE">
        <w:rPr>
          <w:i/>
          <w:color w:val="000000"/>
          <w:sz w:val="28"/>
          <w:lang w:eastAsia="cs-CZ"/>
        </w:rPr>
        <w:t xml:space="preserve"> желтый 03F520312</w:t>
      </w:r>
      <w:r w:rsidR="00D8003B">
        <w:rPr>
          <w:i/>
          <w:color w:val="000000"/>
          <w:sz w:val="28"/>
          <w:lang w:eastAsia="cs-CZ"/>
        </w:rPr>
        <w:t xml:space="preserve">: </w:t>
      </w:r>
      <w:proofErr w:type="spellStart"/>
      <w:r w:rsidR="00F058CC">
        <w:rPr>
          <w:color w:val="000000"/>
          <w:sz w:val="28"/>
          <w:lang w:eastAsia="cs-CZ"/>
        </w:rPr>
        <w:t>гипромеллоза</w:t>
      </w:r>
      <w:proofErr w:type="spellEnd"/>
      <w:r w:rsidR="00F058CC">
        <w:rPr>
          <w:color w:val="000000"/>
          <w:sz w:val="28"/>
          <w:lang w:eastAsia="cs-CZ"/>
        </w:rPr>
        <w:t xml:space="preserve">, тальк, титана диоксид (Е171), железа оксид желтый (Е172), </w:t>
      </w:r>
      <w:proofErr w:type="spellStart"/>
      <w:r w:rsidR="00C136FE">
        <w:rPr>
          <w:color w:val="000000"/>
          <w:sz w:val="28"/>
          <w:lang w:eastAsia="cs-CZ"/>
        </w:rPr>
        <w:t>макрогол</w:t>
      </w:r>
      <w:proofErr w:type="spellEnd"/>
      <w:r w:rsidR="00C136FE">
        <w:rPr>
          <w:color w:val="000000"/>
          <w:sz w:val="28"/>
          <w:lang w:eastAsia="cs-CZ"/>
        </w:rPr>
        <w:t>/</w:t>
      </w:r>
      <w:r>
        <w:rPr>
          <w:color w:val="000000"/>
          <w:sz w:val="28"/>
          <w:lang w:eastAsia="cs-CZ"/>
        </w:rPr>
        <w:t xml:space="preserve"> </w:t>
      </w:r>
      <w:proofErr w:type="spellStart"/>
      <w:r w:rsidR="00C136FE">
        <w:rPr>
          <w:color w:val="000000"/>
          <w:sz w:val="28"/>
          <w:lang w:eastAsia="cs-CZ"/>
        </w:rPr>
        <w:t>полиэтил</w:t>
      </w:r>
      <w:r w:rsidR="00442557">
        <w:rPr>
          <w:color w:val="000000"/>
          <w:sz w:val="28"/>
          <w:lang w:eastAsia="cs-CZ"/>
        </w:rPr>
        <w:t>е</w:t>
      </w:r>
      <w:r w:rsidR="00D8003B">
        <w:rPr>
          <w:color w:val="000000"/>
          <w:sz w:val="28"/>
          <w:lang w:eastAsia="cs-CZ"/>
        </w:rPr>
        <w:t>нгликоль</w:t>
      </w:r>
      <w:proofErr w:type="spellEnd"/>
      <w:r>
        <w:rPr>
          <w:color w:val="000000"/>
          <w:sz w:val="28"/>
          <w:lang w:eastAsia="cs-CZ"/>
        </w:rPr>
        <w:t>; вода очищенная</w:t>
      </w:r>
      <w:r w:rsidR="00F058CC">
        <w:rPr>
          <w:color w:val="000000"/>
          <w:sz w:val="28"/>
          <w:lang w:eastAsia="cs-CZ"/>
        </w:rPr>
        <w:t>.</w:t>
      </w:r>
    </w:p>
    <w:p w14:paraId="1A88816E" w14:textId="77777777" w:rsidR="00F946FC" w:rsidRPr="003B14A9" w:rsidRDefault="00F946FC" w:rsidP="003B14A9">
      <w:pPr>
        <w:jc w:val="both"/>
        <w:rPr>
          <w:color w:val="000000"/>
          <w:sz w:val="28"/>
          <w:lang w:eastAsia="cs-CZ"/>
        </w:rPr>
      </w:pPr>
    </w:p>
    <w:p w14:paraId="01DA1D99" w14:textId="77777777" w:rsidR="00842457" w:rsidRDefault="00842457" w:rsidP="003B14A9">
      <w:pPr>
        <w:jc w:val="both"/>
        <w:rPr>
          <w:b/>
          <w:i/>
          <w:color w:val="000000"/>
          <w:sz w:val="28"/>
          <w:lang w:eastAsia="cs-CZ"/>
        </w:rPr>
      </w:pPr>
      <w:r w:rsidRPr="00842457">
        <w:rPr>
          <w:b/>
          <w:i/>
          <w:color w:val="000000"/>
          <w:sz w:val="28"/>
          <w:lang w:eastAsia="cs-CZ"/>
        </w:rPr>
        <w:t>Описание внешнего вида, запаха, вкуса</w:t>
      </w:r>
    </w:p>
    <w:p w14:paraId="27AE38BF" w14:textId="77777777" w:rsidR="00B54EBF" w:rsidRPr="0072773A" w:rsidRDefault="0034335F" w:rsidP="003B14A9">
      <w:pPr>
        <w:jc w:val="both"/>
        <w:rPr>
          <w:color w:val="000000"/>
          <w:sz w:val="28"/>
          <w:lang w:eastAsia="cs-CZ"/>
        </w:rPr>
      </w:pPr>
      <w:r w:rsidRPr="0034335F">
        <w:rPr>
          <w:color w:val="000000"/>
          <w:sz w:val="28"/>
          <w:lang w:eastAsia="cs-CZ"/>
        </w:rPr>
        <w:t xml:space="preserve">Таблетки круглой формы, слегка двояковыпуклые, со скошенной кромкой, покрытые плёночной оболочкой тёмно - желтого цвета, с надписью “L2.5” на одной стороне </w:t>
      </w:r>
      <w:r w:rsidR="00F946FC" w:rsidRPr="0034335F">
        <w:rPr>
          <w:color w:val="000000"/>
          <w:sz w:val="28"/>
          <w:lang w:eastAsia="cs-CZ"/>
        </w:rPr>
        <w:t>и гладкие</w:t>
      </w:r>
      <w:r w:rsidRPr="0034335F">
        <w:rPr>
          <w:color w:val="000000"/>
          <w:sz w:val="28"/>
          <w:lang w:eastAsia="cs-CZ"/>
        </w:rPr>
        <w:t xml:space="preserve"> </w:t>
      </w:r>
      <w:r w:rsidR="00F946FC" w:rsidRPr="0034335F">
        <w:rPr>
          <w:color w:val="000000"/>
          <w:sz w:val="28"/>
          <w:lang w:eastAsia="cs-CZ"/>
        </w:rPr>
        <w:t>с другой</w:t>
      </w:r>
      <w:r w:rsidRPr="0034335F">
        <w:rPr>
          <w:color w:val="000000"/>
          <w:sz w:val="28"/>
          <w:lang w:eastAsia="cs-CZ"/>
        </w:rPr>
        <w:t xml:space="preserve"> стороны.</w:t>
      </w:r>
    </w:p>
    <w:p w14:paraId="61C3B9C6" w14:textId="77777777" w:rsidR="0034335F" w:rsidRDefault="0034335F" w:rsidP="00B54EBF">
      <w:pPr>
        <w:jc w:val="both"/>
        <w:rPr>
          <w:b/>
          <w:color w:val="000000"/>
          <w:sz w:val="28"/>
          <w:lang w:eastAsia="cs-CZ"/>
        </w:rPr>
      </w:pPr>
    </w:p>
    <w:p w14:paraId="2CBACF3A" w14:textId="77777777" w:rsidR="00B54EBF" w:rsidRPr="00B54EBF" w:rsidRDefault="00B54EBF" w:rsidP="00B54EBF">
      <w:pPr>
        <w:jc w:val="both"/>
        <w:rPr>
          <w:b/>
          <w:color w:val="000000"/>
          <w:sz w:val="28"/>
          <w:lang w:eastAsia="cs-CZ"/>
        </w:rPr>
      </w:pPr>
      <w:r w:rsidRPr="00B54EBF">
        <w:rPr>
          <w:b/>
          <w:color w:val="000000"/>
          <w:sz w:val="28"/>
          <w:lang w:eastAsia="cs-CZ"/>
        </w:rPr>
        <w:t>Форма выпуска и упаковка</w:t>
      </w:r>
    </w:p>
    <w:p w14:paraId="15ACA5EF" w14:textId="77777777" w:rsidR="0035757C" w:rsidRPr="0035757C" w:rsidRDefault="0035757C" w:rsidP="0035757C">
      <w:pPr>
        <w:jc w:val="both"/>
        <w:rPr>
          <w:color w:val="000000"/>
          <w:sz w:val="28"/>
          <w:lang w:eastAsia="cs-CZ"/>
        </w:rPr>
      </w:pPr>
      <w:r w:rsidRPr="0035757C">
        <w:rPr>
          <w:color w:val="000000"/>
          <w:sz w:val="28"/>
          <w:lang w:eastAsia="cs-CZ"/>
        </w:rPr>
        <w:t>По 30 таблеток помещают в полиэтиленовый контейнер высокой плотности.</w:t>
      </w:r>
      <w:r w:rsidRPr="0035757C">
        <w:t xml:space="preserve"> </w:t>
      </w:r>
    </w:p>
    <w:p w14:paraId="1B668EB4" w14:textId="77777777" w:rsidR="008B245E" w:rsidRDefault="0035757C" w:rsidP="0035757C">
      <w:pPr>
        <w:jc w:val="both"/>
        <w:rPr>
          <w:color w:val="000000"/>
          <w:sz w:val="28"/>
          <w:lang w:eastAsia="cs-CZ"/>
        </w:rPr>
      </w:pPr>
      <w:r w:rsidRPr="00BD1829">
        <w:rPr>
          <w:color w:val="000000"/>
          <w:sz w:val="28"/>
          <w:lang w:eastAsia="cs-CZ"/>
        </w:rPr>
        <w:t xml:space="preserve">На контейнер прикрепляют этикетку самоклеющуюся и инструкцию по медицинскому применению на </w:t>
      </w:r>
      <w:r w:rsidRPr="00BD1829">
        <w:rPr>
          <w:color w:val="000000"/>
          <w:sz w:val="28"/>
          <w:lang w:val="kk-KZ" w:eastAsia="cs-CZ"/>
        </w:rPr>
        <w:t>казахском</w:t>
      </w:r>
      <w:r>
        <w:rPr>
          <w:color w:val="000000"/>
          <w:sz w:val="28"/>
          <w:lang w:eastAsia="cs-CZ"/>
        </w:rPr>
        <w:t xml:space="preserve"> и русском языках</w:t>
      </w:r>
      <w:r w:rsidR="0034335F" w:rsidRPr="0034335F">
        <w:rPr>
          <w:color w:val="000000"/>
          <w:sz w:val="28"/>
          <w:lang w:eastAsia="cs-CZ"/>
        </w:rPr>
        <w:t>.</w:t>
      </w:r>
    </w:p>
    <w:p w14:paraId="487D50CE" w14:textId="77777777" w:rsidR="0034335F" w:rsidRPr="0035757C" w:rsidRDefault="0034335F" w:rsidP="0034335F">
      <w:pPr>
        <w:jc w:val="both"/>
        <w:rPr>
          <w:color w:val="000000"/>
          <w:sz w:val="28"/>
          <w:lang w:eastAsia="cs-CZ"/>
        </w:rPr>
      </w:pPr>
    </w:p>
    <w:p w14:paraId="0A91B845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Срок хранения </w:t>
      </w:r>
    </w:p>
    <w:p w14:paraId="1356E2D8" w14:textId="77777777" w:rsidR="004E6424" w:rsidRPr="004E6424" w:rsidRDefault="008B245E" w:rsidP="004E6424">
      <w:pPr>
        <w:jc w:val="both"/>
        <w:rPr>
          <w:color w:val="000000"/>
          <w:sz w:val="28"/>
          <w:lang w:eastAsia="cs-CZ"/>
        </w:rPr>
      </w:pPr>
      <w:r>
        <w:rPr>
          <w:color w:val="000000"/>
          <w:sz w:val="28"/>
          <w:lang w:eastAsia="cs-CZ"/>
        </w:rPr>
        <w:t>2</w:t>
      </w:r>
      <w:r w:rsidR="004E6424" w:rsidRPr="004E6424">
        <w:rPr>
          <w:color w:val="000000"/>
          <w:sz w:val="28"/>
          <w:lang w:eastAsia="cs-CZ"/>
        </w:rPr>
        <w:t xml:space="preserve"> года</w:t>
      </w:r>
    </w:p>
    <w:p w14:paraId="07493FA8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Не применять по истечении срока годности!</w:t>
      </w:r>
    </w:p>
    <w:p w14:paraId="201BB293" w14:textId="77777777" w:rsidR="004E6424" w:rsidRPr="004E6424" w:rsidRDefault="004E6424" w:rsidP="004E6424">
      <w:pPr>
        <w:jc w:val="both"/>
        <w:rPr>
          <w:i/>
          <w:color w:val="000000"/>
          <w:sz w:val="28"/>
          <w:lang w:eastAsia="cs-CZ"/>
        </w:rPr>
      </w:pPr>
      <w:r w:rsidRPr="004E6424">
        <w:rPr>
          <w:b/>
          <w:i/>
          <w:color w:val="000000"/>
          <w:sz w:val="28"/>
          <w:lang w:eastAsia="cs-CZ"/>
        </w:rPr>
        <w:t>Условия хранения</w:t>
      </w:r>
      <w:r w:rsidRPr="004E6424">
        <w:rPr>
          <w:i/>
          <w:color w:val="000000"/>
          <w:sz w:val="28"/>
          <w:lang w:eastAsia="cs-CZ"/>
        </w:rPr>
        <w:t xml:space="preserve"> </w:t>
      </w:r>
    </w:p>
    <w:p w14:paraId="619E8120" w14:textId="77777777" w:rsidR="004E6424" w:rsidRPr="004E6424" w:rsidRDefault="004E6424" w:rsidP="003B2CB5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 xml:space="preserve">Хранить в сухом, защищенном от света месте при температуре не выше </w:t>
      </w:r>
    </w:p>
    <w:p w14:paraId="18CC8CA8" w14:textId="77777777" w:rsidR="004E6424" w:rsidRPr="004E6424" w:rsidRDefault="004E6424" w:rsidP="003B2CB5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25</w:t>
      </w:r>
      <w:r w:rsidR="002E0DDD" w:rsidRPr="002E0DDD">
        <w:rPr>
          <w:color w:val="000000"/>
          <w:sz w:val="28"/>
          <w:vertAlign w:val="superscript"/>
          <w:lang w:eastAsia="cs-CZ"/>
        </w:rPr>
        <w:t>о</w:t>
      </w:r>
      <w:r w:rsidRPr="004E6424">
        <w:rPr>
          <w:color w:val="000000"/>
          <w:sz w:val="28"/>
          <w:lang w:eastAsia="cs-CZ"/>
        </w:rPr>
        <w:t xml:space="preserve">С. </w:t>
      </w:r>
    </w:p>
    <w:p w14:paraId="7A3CCF50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Хранить в недоступном для детей месте!</w:t>
      </w:r>
    </w:p>
    <w:p w14:paraId="09EA1871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74B85B93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>Условия отпуска из аптек</w:t>
      </w:r>
      <w:r w:rsidRPr="004E6424">
        <w:rPr>
          <w:color w:val="000000"/>
          <w:sz w:val="28"/>
          <w:lang w:eastAsia="cs-CZ"/>
        </w:rPr>
        <w:t xml:space="preserve"> </w:t>
      </w:r>
    </w:p>
    <w:p w14:paraId="5F9DFCE7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По рецепту</w:t>
      </w:r>
    </w:p>
    <w:p w14:paraId="4AFC1657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43F1DB13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Сведения о производителе </w:t>
      </w:r>
      <w:r>
        <w:rPr>
          <w:b/>
          <w:color w:val="000000"/>
          <w:sz w:val="28"/>
          <w:lang w:eastAsia="cs-CZ"/>
        </w:rPr>
        <w:t>и держателе регистрационного удостоверения</w:t>
      </w:r>
    </w:p>
    <w:p w14:paraId="306E4F14" w14:textId="77777777" w:rsidR="006D445D" w:rsidRPr="00961796" w:rsidRDefault="006D445D" w:rsidP="004E6424">
      <w:pPr>
        <w:jc w:val="both"/>
        <w:rPr>
          <w:bCs/>
          <w:iCs/>
          <w:color w:val="000000"/>
          <w:sz w:val="28"/>
          <w:lang w:val="en-US" w:eastAsia="cs-CZ"/>
        </w:rPr>
      </w:pPr>
      <w:proofErr w:type="spellStart"/>
      <w:r w:rsidRPr="006D445D">
        <w:rPr>
          <w:bCs/>
          <w:iCs/>
          <w:color w:val="000000"/>
          <w:sz w:val="28"/>
          <w:lang w:val="en-US" w:eastAsia="cs-CZ"/>
        </w:rPr>
        <w:t>Eugia</w:t>
      </w:r>
      <w:proofErr w:type="spellEnd"/>
      <w:r w:rsidRPr="006D445D">
        <w:rPr>
          <w:bCs/>
          <w:iCs/>
          <w:color w:val="000000"/>
          <w:sz w:val="28"/>
          <w:lang w:val="en-US" w:eastAsia="cs-CZ"/>
        </w:rPr>
        <w:t xml:space="preserve"> Pharma </w:t>
      </w:r>
      <w:proofErr w:type="spellStart"/>
      <w:r w:rsidRPr="006D445D">
        <w:rPr>
          <w:bCs/>
          <w:iCs/>
          <w:color w:val="000000"/>
          <w:sz w:val="28"/>
          <w:lang w:val="en-US" w:eastAsia="cs-CZ"/>
        </w:rPr>
        <w:t>Specialities</w:t>
      </w:r>
      <w:proofErr w:type="spellEnd"/>
      <w:r w:rsidRPr="006D445D">
        <w:rPr>
          <w:bCs/>
          <w:iCs/>
          <w:color w:val="000000"/>
          <w:sz w:val="28"/>
          <w:lang w:val="en-US" w:eastAsia="cs-CZ"/>
        </w:rPr>
        <w:t xml:space="preserve"> Limited </w:t>
      </w:r>
    </w:p>
    <w:p w14:paraId="12DC90AE" w14:textId="77777777" w:rsidR="006D445D" w:rsidRPr="006D445D" w:rsidRDefault="006D445D" w:rsidP="004E6424">
      <w:pPr>
        <w:jc w:val="both"/>
        <w:rPr>
          <w:bCs/>
          <w:iCs/>
          <w:color w:val="000000"/>
          <w:sz w:val="28"/>
          <w:lang w:val="en-US" w:eastAsia="cs-CZ"/>
        </w:rPr>
      </w:pPr>
      <w:r w:rsidRPr="006D445D">
        <w:rPr>
          <w:bCs/>
          <w:iCs/>
          <w:color w:val="000000"/>
          <w:sz w:val="28"/>
          <w:lang w:val="en-US" w:eastAsia="cs-CZ"/>
        </w:rPr>
        <w:t xml:space="preserve">Sy No. 550, 551 and 552, </w:t>
      </w:r>
      <w:proofErr w:type="spellStart"/>
      <w:r w:rsidR="007B5134">
        <w:rPr>
          <w:bCs/>
          <w:iCs/>
          <w:color w:val="000000"/>
          <w:sz w:val="28"/>
          <w:lang w:val="en-US" w:eastAsia="cs-CZ"/>
        </w:rPr>
        <w:t>Kolthur</w:t>
      </w:r>
      <w:proofErr w:type="spellEnd"/>
      <w:r w:rsidR="007B5134">
        <w:rPr>
          <w:bCs/>
          <w:iCs/>
          <w:color w:val="000000"/>
          <w:sz w:val="28"/>
          <w:lang w:val="en-US" w:eastAsia="cs-CZ"/>
        </w:rPr>
        <w:t xml:space="preserve"> Village/</w:t>
      </w:r>
      <w:proofErr w:type="spellStart"/>
      <w:r w:rsidR="00961796">
        <w:rPr>
          <w:bCs/>
          <w:iCs/>
          <w:color w:val="000000"/>
          <w:sz w:val="28"/>
          <w:lang w:eastAsia="cs-CZ"/>
        </w:rPr>
        <w:t>Колтур</w:t>
      </w:r>
      <w:proofErr w:type="spellEnd"/>
      <w:r w:rsidR="00961796" w:rsidRPr="00961796">
        <w:rPr>
          <w:bCs/>
          <w:iCs/>
          <w:color w:val="000000"/>
          <w:sz w:val="28"/>
          <w:lang w:val="en-US" w:eastAsia="cs-CZ"/>
        </w:rPr>
        <w:t xml:space="preserve"> </w:t>
      </w:r>
      <w:r w:rsidR="00961796">
        <w:rPr>
          <w:bCs/>
          <w:iCs/>
          <w:color w:val="000000"/>
          <w:sz w:val="28"/>
          <w:lang w:eastAsia="cs-CZ"/>
        </w:rPr>
        <w:t>Виллидж</w:t>
      </w:r>
      <w:r w:rsidRPr="006D445D">
        <w:rPr>
          <w:bCs/>
          <w:iCs/>
          <w:color w:val="000000"/>
          <w:sz w:val="28"/>
          <w:lang w:val="en-US" w:eastAsia="cs-CZ"/>
        </w:rPr>
        <w:t xml:space="preserve">, </w:t>
      </w:r>
      <w:proofErr w:type="spellStart"/>
      <w:r w:rsidRPr="006D445D">
        <w:rPr>
          <w:bCs/>
          <w:iCs/>
          <w:color w:val="000000"/>
          <w:sz w:val="28"/>
          <w:lang w:val="en-US" w:eastAsia="cs-CZ"/>
        </w:rPr>
        <w:t>Shamirpet</w:t>
      </w:r>
      <w:proofErr w:type="spellEnd"/>
      <w:r w:rsidRPr="006D445D">
        <w:rPr>
          <w:bCs/>
          <w:iCs/>
          <w:color w:val="000000"/>
          <w:sz w:val="28"/>
          <w:lang w:val="en-US" w:eastAsia="cs-CZ"/>
        </w:rPr>
        <w:t xml:space="preserve"> Mandal, </w:t>
      </w:r>
      <w:proofErr w:type="spellStart"/>
      <w:r w:rsidRPr="006D445D">
        <w:rPr>
          <w:bCs/>
          <w:iCs/>
          <w:color w:val="000000"/>
          <w:sz w:val="28"/>
          <w:lang w:val="en-US" w:eastAsia="cs-CZ"/>
        </w:rPr>
        <w:t>Medchal-Malkajgiri</w:t>
      </w:r>
      <w:proofErr w:type="spellEnd"/>
      <w:r w:rsidRPr="006D445D">
        <w:rPr>
          <w:bCs/>
          <w:iCs/>
          <w:color w:val="000000"/>
          <w:sz w:val="28"/>
          <w:lang w:val="en-US" w:eastAsia="cs-CZ"/>
        </w:rPr>
        <w:t xml:space="preserve"> District, Telangana, </w:t>
      </w:r>
      <w:proofErr w:type="spellStart"/>
      <w:r w:rsidRPr="006D445D">
        <w:rPr>
          <w:bCs/>
          <w:iCs/>
          <w:color w:val="000000"/>
          <w:sz w:val="28"/>
          <w:lang w:val="en-US" w:eastAsia="cs-CZ"/>
        </w:rPr>
        <w:t>Индия</w:t>
      </w:r>
      <w:proofErr w:type="spellEnd"/>
      <w:r w:rsidRPr="006D445D">
        <w:rPr>
          <w:bCs/>
          <w:iCs/>
          <w:color w:val="000000"/>
          <w:sz w:val="28"/>
          <w:lang w:val="en-US" w:eastAsia="cs-CZ"/>
        </w:rPr>
        <w:t>.</w:t>
      </w:r>
    </w:p>
    <w:p w14:paraId="32A71198" w14:textId="77777777" w:rsidR="00E7228E" w:rsidRPr="00C53CEF" w:rsidRDefault="00E7228E" w:rsidP="004E6424">
      <w:pPr>
        <w:jc w:val="both"/>
        <w:rPr>
          <w:rFonts w:eastAsia="Consolas"/>
          <w:color w:val="0000FF"/>
          <w:sz w:val="28"/>
          <w:szCs w:val="28"/>
          <w:u w:val="single"/>
          <w:lang w:val="en-US" w:eastAsia="en-US"/>
        </w:rPr>
      </w:pPr>
      <w:r>
        <w:rPr>
          <w:rFonts w:eastAsia="Consolas"/>
          <w:sz w:val="28"/>
          <w:szCs w:val="28"/>
          <w:lang w:eastAsia="en-US"/>
        </w:rPr>
        <w:t>Т</w:t>
      </w:r>
      <w:r w:rsidRPr="00E7228E">
        <w:rPr>
          <w:rFonts w:eastAsia="Consolas"/>
          <w:sz w:val="28"/>
          <w:szCs w:val="28"/>
          <w:lang w:eastAsia="en-US"/>
        </w:rPr>
        <w:t>ел</w:t>
      </w:r>
      <w:r w:rsidRPr="00C53CEF">
        <w:rPr>
          <w:rFonts w:eastAsia="Consolas"/>
          <w:sz w:val="28"/>
          <w:szCs w:val="28"/>
          <w:lang w:val="en-US" w:eastAsia="en-US"/>
        </w:rPr>
        <w:t xml:space="preserve">. </w:t>
      </w:r>
      <w:r w:rsidR="006D445D" w:rsidRPr="00C53CEF">
        <w:rPr>
          <w:rFonts w:eastAsia="Consolas"/>
          <w:bCs/>
          <w:sz w:val="28"/>
          <w:szCs w:val="28"/>
          <w:lang w:val="en-US" w:eastAsia="en-US"/>
        </w:rPr>
        <w:t>+91 04030848000</w:t>
      </w:r>
      <w:r w:rsidRPr="00C53CEF">
        <w:rPr>
          <w:rFonts w:eastAsia="Consolas"/>
          <w:bCs/>
          <w:sz w:val="28"/>
          <w:szCs w:val="28"/>
          <w:lang w:val="en-US" w:eastAsia="en-US"/>
        </w:rPr>
        <w:t xml:space="preserve">, </w:t>
      </w:r>
      <w:r w:rsidR="004C0B0A" w:rsidRPr="00C53CEF">
        <w:rPr>
          <w:rFonts w:eastAsia="Consolas"/>
          <w:sz w:val="28"/>
          <w:szCs w:val="28"/>
          <w:lang w:val="en-US" w:eastAsia="en-US"/>
        </w:rPr>
        <w:t xml:space="preserve">e-mail: </w:t>
      </w:r>
      <w:hyperlink r:id="rId9" w:history="1">
        <w:r w:rsidR="00420605" w:rsidRPr="006A028F">
          <w:rPr>
            <w:rStyle w:val="ad"/>
            <w:bCs/>
            <w:iCs/>
            <w:sz w:val="28"/>
            <w:szCs w:val="28"/>
            <w:lang w:val="en-US" w:eastAsia="cs-CZ"/>
          </w:rPr>
          <w:t>info</w:t>
        </w:r>
        <w:r w:rsidR="00420605" w:rsidRPr="00420605">
          <w:rPr>
            <w:rStyle w:val="ad"/>
            <w:bCs/>
            <w:iCs/>
            <w:sz w:val="28"/>
            <w:szCs w:val="28"/>
            <w:lang w:val="en-US" w:eastAsia="cs-CZ"/>
          </w:rPr>
          <w:t>@</w:t>
        </w:r>
        <w:r w:rsidR="00420605" w:rsidRPr="006A028F">
          <w:rPr>
            <w:rStyle w:val="ad"/>
            <w:bCs/>
            <w:iCs/>
            <w:sz w:val="28"/>
            <w:szCs w:val="28"/>
            <w:lang w:val="en-US" w:eastAsia="cs-CZ"/>
          </w:rPr>
          <w:t>eugia</w:t>
        </w:r>
        <w:r w:rsidR="00420605" w:rsidRPr="00420605">
          <w:rPr>
            <w:rStyle w:val="ad"/>
            <w:bCs/>
            <w:iCs/>
            <w:sz w:val="28"/>
            <w:szCs w:val="28"/>
            <w:lang w:val="en-US" w:eastAsia="cs-CZ"/>
          </w:rPr>
          <w:t>.</w:t>
        </w:r>
        <w:r w:rsidR="00420605" w:rsidRPr="006A028F">
          <w:rPr>
            <w:rStyle w:val="ad"/>
            <w:bCs/>
            <w:iCs/>
            <w:sz w:val="28"/>
            <w:szCs w:val="28"/>
            <w:lang w:val="en-US" w:eastAsia="cs-CZ"/>
          </w:rPr>
          <w:t>co</w:t>
        </w:r>
        <w:r w:rsidR="00420605" w:rsidRPr="00420605">
          <w:rPr>
            <w:rStyle w:val="ad"/>
            <w:bCs/>
            <w:iCs/>
            <w:sz w:val="28"/>
            <w:szCs w:val="28"/>
            <w:lang w:val="en-US" w:eastAsia="cs-CZ"/>
          </w:rPr>
          <w:t>.</w:t>
        </w:r>
        <w:r w:rsidR="00420605" w:rsidRPr="006A028F">
          <w:rPr>
            <w:rStyle w:val="ad"/>
            <w:bCs/>
            <w:iCs/>
            <w:sz w:val="28"/>
            <w:szCs w:val="28"/>
            <w:lang w:val="en-US" w:eastAsia="cs-CZ"/>
          </w:rPr>
          <w:t>in</w:t>
        </w:r>
      </w:hyperlink>
    </w:p>
    <w:p w14:paraId="4E5AB867" w14:textId="77777777" w:rsidR="00367CD9" w:rsidRPr="00C53CEF" w:rsidRDefault="00367CD9" w:rsidP="00367CD9">
      <w:pPr>
        <w:jc w:val="both"/>
        <w:rPr>
          <w:rFonts w:eastAsia="Consolas"/>
          <w:b/>
          <w:color w:val="0000FF"/>
          <w:sz w:val="28"/>
          <w:szCs w:val="28"/>
          <w:u w:val="single"/>
          <w:lang w:val="en-US" w:eastAsia="en-US"/>
        </w:rPr>
      </w:pPr>
    </w:p>
    <w:p w14:paraId="09612C80" w14:textId="77777777" w:rsidR="00367CD9" w:rsidRPr="00367CD9" w:rsidRDefault="00367CD9" w:rsidP="00367CD9">
      <w:pPr>
        <w:jc w:val="both"/>
        <w:rPr>
          <w:rFonts w:eastAsia="Consolas"/>
          <w:b/>
          <w:sz w:val="28"/>
          <w:szCs w:val="28"/>
          <w:lang w:eastAsia="en-US"/>
        </w:rPr>
      </w:pPr>
      <w:r w:rsidRPr="00367CD9">
        <w:rPr>
          <w:rFonts w:eastAsia="Consolas"/>
          <w:b/>
          <w:sz w:val="28"/>
          <w:szCs w:val="28"/>
          <w:lang w:eastAsia="en-US"/>
        </w:rPr>
        <w:t>Сведения о держателе регистрационного удостоверения</w:t>
      </w:r>
    </w:p>
    <w:p w14:paraId="6FF4DF3F" w14:textId="77777777" w:rsidR="00961796" w:rsidRPr="00961796" w:rsidRDefault="00961796" w:rsidP="00367CD9">
      <w:pPr>
        <w:jc w:val="both"/>
        <w:rPr>
          <w:bCs/>
          <w:iCs/>
          <w:color w:val="000000"/>
          <w:sz w:val="28"/>
          <w:szCs w:val="28"/>
          <w:lang w:eastAsia="cs-CZ"/>
        </w:rPr>
      </w:pPr>
      <w:proofErr w:type="spellStart"/>
      <w:r w:rsidRPr="00961796">
        <w:rPr>
          <w:bCs/>
          <w:iCs/>
          <w:color w:val="000000"/>
          <w:sz w:val="28"/>
          <w:szCs w:val="28"/>
          <w:lang w:val="en-US" w:eastAsia="cs-CZ"/>
        </w:rPr>
        <w:t>Eugia</w:t>
      </w:r>
      <w:proofErr w:type="spellEnd"/>
      <w:r w:rsidRPr="00961796">
        <w:rPr>
          <w:bCs/>
          <w:iCs/>
          <w:color w:val="000000"/>
          <w:sz w:val="28"/>
          <w:szCs w:val="28"/>
          <w:lang w:eastAsia="cs-CZ"/>
        </w:rPr>
        <w:t xml:space="preserve"> </w:t>
      </w:r>
      <w:r w:rsidRPr="00961796">
        <w:rPr>
          <w:bCs/>
          <w:iCs/>
          <w:color w:val="000000"/>
          <w:sz w:val="28"/>
          <w:szCs w:val="28"/>
          <w:lang w:val="en-US" w:eastAsia="cs-CZ"/>
        </w:rPr>
        <w:t>Pharma</w:t>
      </w:r>
      <w:r w:rsidRPr="00961796">
        <w:rPr>
          <w:bCs/>
          <w:iCs/>
          <w:color w:val="000000"/>
          <w:sz w:val="28"/>
          <w:szCs w:val="28"/>
          <w:lang w:eastAsia="cs-CZ"/>
        </w:rPr>
        <w:t xml:space="preserve"> </w:t>
      </w:r>
      <w:proofErr w:type="spellStart"/>
      <w:r w:rsidRPr="00961796">
        <w:rPr>
          <w:bCs/>
          <w:iCs/>
          <w:color w:val="000000"/>
          <w:sz w:val="28"/>
          <w:szCs w:val="28"/>
          <w:lang w:val="en-US" w:eastAsia="cs-CZ"/>
        </w:rPr>
        <w:t>Specialities</w:t>
      </w:r>
      <w:proofErr w:type="spellEnd"/>
      <w:r w:rsidRPr="00961796">
        <w:rPr>
          <w:bCs/>
          <w:iCs/>
          <w:color w:val="000000"/>
          <w:sz w:val="28"/>
          <w:szCs w:val="28"/>
          <w:lang w:eastAsia="cs-CZ"/>
        </w:rPr>
        <w:t xml:space="preserve"> </w:t>
      </w:r>
      <w:r w:rsidRPr="00961796">
        <w:rPr>
          <w:bCs/>
          <w:iCs/>
          <w:color w:val="000000"/>
          <w:sz w:val="28"/>
          <w:szCs w:val="28"/>
          <w:lang w:val="en-US" w:eastAsia="cs-CZ"/>
        </w:rPr>
        <w:t>Limited</w:t>
      </w:r>
      <w:r w:rsidRPr="00961796">
        <w:rPr>
          <w:bCs/>
          <w:iCs/>
          <w:color w:val="000000"/>
          <w:sz w:val="28"/>
          <w:szCs w:val="28"/>
          <w:lang w:eastAsia="cs-CZ"/>
        </w:rPr>
        <w:t xml:space="preserve"> </w:t>
      </w:r>
    </w:p>
    <w:p w14:paraId="20256F4C" w14:textId="77777777" w:rsidR="00367CD9" w:rsidRPr="00367CD9" w:rsidRDefault="00367CD9" w:rsidP="00367CD9">
      <w:pPr>
        <w:jc w:val="both"/>
        <w:rPr>
          <w:bCs/>
          <w:iCs/>
          <w:color w:val="000000"/>
          <w:sz w:val="28"/>
          <w:szCs w:val="28"/>
          <w:lang w:val="en-US" w:eastAsia="cs-CZ"/>
        </w:rPr>
      </w:pPr>
      <w:r w:rsidRPr="00367CD9">
        <w:rPr>
          <w:bCs/>
          <w:iCs/>
          <w:color w:val="000000"/>
          <w:sz w:val="28"/>
          <w:szCs w:val="28"/>
          <w:lang w:val="en-US" w:eastAsia="cs-CZ"/>
        </w:rPr>
        <w:t xml:space="preserve">Plot No.2, </w:t>
      </w:r>
      <w:proofErr w:type="spellStart"/>
      <w:r w:rsidRPr="00367CD9">
        <w:rPr>
          <w:bCs/>
          <w:iCs/>
          <w:color w:val="000000"/>
          <w:sz w:val="28"/>
          <w:szCs w:val="28"/>
          <w:lang w:val="en-US" w:eastAsia="cs-CZ"/>
        </w:rPr>
        <w:t>Maithrivihar</w:t>
      </w:r>
      <w:proofErr w:type="spellEnd"/>
      <w:r w:rsidRPr="00367CD9">
        <w:rPr>
          <w:bCs/>
          <w:iCs/>
          <w:color w:val="000000"/>
          <w:sz w:val="28"/>
          <w:szCs w:val="28"/>
          <w:lang w:val="en-US" w:eastAsia="cs-CZ"/>
        </w:rPr>
        <w:t>, Ameerpet,</w:t>
      </w:r>
    </w:p>
    <w:p w14:paraId="572B7061" w14:textId="77777777" w:rsidR="00367CD9" w:rsidRPr="003B2CB5" w:rsidRDefault="007B5134" w:rsidP="00367CD9">
      <w:pPr>
        <w:jc w:val="both"/>
        <w:rPr>
          <w:bCs/>
          <w:iCs/>
          <w:color w:val="000000"/>
          <w:sz w:val="28"/>
          <w:szCs w:val="28"/>
          <w:lang w:val="en-US" w:eastAsia="cs-CZ"/>
        </w:rPr>
      </w:pPr>
      <w:r>
        <w:rPr>
          <w:bCs/>
          <w:iCs/>
          <w:color w:val="000000"/>
          <w:sz w:val="28"/>
          <w:szCs w:val="28"/>
          <w:lang w:val="en-US" w:eastAsia="cs-CZ"/>
        </w:rPr>
        <w:t>Hyderabad/</w:t>
      </w:r>
      <w:proofErr w:type="spellStart"/>
      <w:r w:rsidR="00946E78">
        <w:rPr>
          <w:bCs/>
          <w:iCs/>
          <w:color w:val="000000"/>
          <w:sz w:val="28"/>
          <w:szCs w:val="28"/>
          <w:lang w:eastAsia="cs-CZ"/>
        </w:rPr>
        <w:t>Хайдерабад</w:t>
      </w:r>
      <w:proofErr w:type="spellEnd"/>
      <w:r w:rsidR="00367CD9" w:rsidRPr="00752A97">
        <w:rPr>
          <w:bCs/>
          <w:iCs/>
          <w:color w:val="000000"/>
          <w:sz w:val="28"/>
          <w:szCs w:val="28"/>
          <w:lang w:val="en-US" w:eastAsia="cs-CZ"/>
        </w:rPr>
        <w:t xml:space="preserve"> - 500</w:t>
      </w:r>
      <w:r w:rsidR="003B2CB5">
        <w:rPr>
          <w:bCs/>
          <w:iCs/>
          <w:color w:val="000000"/>
          <w:sz w:val="28"/>
          <w:szCs w:val="28"/>
          <w:lang w:val="en-US" w:eastAsia="cs-CZ"/>
        </w:rPr>
        <w:t> </w:t>
      </w:r>
      <w:r w:rsidR="00367CD9" w:rsidRPr="00752A97">
        <w:rPr>
          <w:bCs/>
          <w:iCs/>
          <w:color w:val="000000"/>
          <w:sz w:val="28"/>
          <w:szCs w:val="28"/>
          <w:lang w:val="en-US" w:eastAsia="cs-CZ"/>
        </w:rPr>
        <w:t>038</w:t>
      </w:r>
      <w:r w:rsidR="003B2CB5" w:rsidRPr="007B5134">
        <w:rPr>
          <w:bCs/>
          <w:iCs/>
          <w:color w:val="000000"/>
          <w:sz w:val="28"/>
          <w:szCs w:val="28"/>
          <w:lang w:val="en-US" w:eastAsia="cs-CZ"/>
        </w:rPr>
        <w:t>,</w:t>
      </w:r>
      <w:r w:rsidR="00367CD9" w:rsidRPr="00752A97">
        <w:rPr>
          <w:bCs/>
          <w:iCs/>
          <w:color w:val="000000"/>
          <w:sz w:val="28"/>
          <w:szCs w:val="28"/>
          <w:lang w:val="en-US" w:eastAsia="cs-CZ"/>
        </w:rPr>
        <w:t xml:space="preserve"> </w:t>
      </w:r>
      <w:r w:rsidR="00367CD9" w:rsidRPr="00367CD9">
        <w:rPr>
          <w:bCs/>
          <w:iCs/>
          <w:color w:val="000000"/>
          <w:sz w:val="28"/>
          <w:szCs w:val="28"/>
          <w:lang w:val="en-US" w:eastAsia="cs-CZ"/>
        </w:rPr>
        <w:t>Telangana</w:t>
      </w:r>
      <w:r w:rsidR="00367CD9" w:rsidRPr="003B2CB5">
        <w:rPr>
          <w:bCs/>
          <w:iCs/>
          <w:color w:val="000000"/>
          <w:sz w:val="28"/>
          <w:szCs w:val="28"/>
          <w:lang w:val="en-US" w:eastAsia="cs-CZ"/>
        </w:rPr>
        <w:t xml:space="preserve">, </w:t>
      </w:r>
      <w:r w:rsidR="00367CD9" w:rsidRPr="00961796">
        <w:rPr>
          <w:bCs/>
          <w:iCs/>
          <w:color w:val="000000"/>
          <w:sz w:val="28"/>
          <w:szCs w:val="28"/>
          <w:lang w:eastAsia="cs-CZ"/>
        </w:rPr>
        <w:t>Индия</w:t>
      </w:r>
      <w:r w:rsidR="00367CD9" w:rsidRPr="003B2CB5">
        <w:rPr>
          <w:bCs/>
          <w:iCs/>
          <w:color w:val="000000"/>
          <w:sz w:val="28"/>
          <w:szCs w:val="28"/>
          <w:lang w:val="en-US" w:eastAsia="cs-CZ"/>
        </w:rPr>
        <w:t>.</w:t>
      </w:r>
    </w:p>
    <w:p w14:paraId="388314CD" w14:textId="77777777" w:rsidR="0035757C" w:rsidRPr="00420605" w:rsidRDefault="00367CD9" w:rsidP="00E7228E">
      <w:pPr>
        <w:jc w:val="both"/>
        <w:rPr>
          <w:bCs/>
          <w:iCs/>
          <w:sz w:val="28"/>
          <w:szCs w:val="28"/>
          <w:lang w:eastAsia="cs-CZ"/>
        </w:rPr>
      </w:pPr>
      <w:r>
        <w:rPr>
          <w:bCs/>
          <w:iCs/>
          <w:color w:val="000000"/>
          <w:sz w:val="28"/>
          <w:szCs w:val="28"/>
          <w:lang w:val="kk-KZ" w:eastAsia="cs-CZ"/>
        </w:rPr>
        <w:t>Т</w:t>
      </w:r>
      <w:r w:rsidRPr="00367CD9">
        <w:rPr>
          <w:bCs/>
          <w:iCs/>
          <w:color w:val="000000"/>
          <w:sz w:val="28"/>
          <w:szCs w:val="28"/>
          <w:lang w:eastAsia="cs-CZ"/>
        </w:rPr>
        <w:t>ел</w:t>
      </w:r>
      <w:r w:rsidRPr="007B5134">
        <w:rPr>
          <w:bCs/>
          <w:iCs/>
          <w:color w:val="000000"/>
          <w:sz w:val="28"/>
          <w:szCs w:val="28"/>
          <w:lang w:eastAsia="cs-CZ"/>
        </w:rPr>
        <w:t xml:space="preserve">. +914066725000/1200, +914023736370, </w:t>
      </w:r>
      <w:r w:rsidRPr="00367CD9">
        <w:rPr>
          <w:bCs/>
          <w:iCs/>
          <w:color w:val="000000"/>
          <w:sz w:val="28"/>
          <w:szCs w:val="28"/>
          <w:lang w:eastAsia="cs-CZ"/>
        </w:rPr>
        <w:t>факс</w:t>
      </w:r>
      <w:r w:rsidRPr="007B5134">
        <w:rPr>
          <w:bCs/>
          <w:iCs/>
          <w:color w:val="000000"/>
          <w:sz w:val="28"/>
          <w:szCs w:val="28"/>
          <w:lang w:eastAsia="cs-CZ"/>
        </w:rPr>
        <w:t xml:space="preserve"> +914067074059, +914023747340, </w:t>
      </w:r>
      <w:r w:rsidR="004C0B0A" w:rsidRPr="003B2CB5">
        <w:rPr>
          <w:bCs/>
          <w:iCs/>
          <w:color w:val="000000"/>
          <w:sz w:val="28"/>
          <w:szCs w:val="28"/>
          <w:lang w:val="en-US" w:eastAsia="cs-CZ"/>
        </w:rPr>
        <w:t>e</w:t>
      </w:r>
      <w:r w:rsidR="004C0B0A" w:rsidRPr="007B5134">
        <w:rPr>
          <w:bCs/>
          <w:iCs/>
          <w:color w:val="000000"/>
          <w:sz w:val="28"/>
          <w:szCs w:val="28"/>
          <w:lang w:eastAsia="cs-CZ"/>
        </w:rPr>
        <w:t>-</w:t>
      </w:r>
      <w:r w:rsidR="004C0B0A" w:rsidRPr="003B2CB5">
        <w:rPr>
          <w:bCs/>
          <w:iCs/>
          <w:color w:val="000000"/>
          <w:sz w:val="28"/>
          <w:szCs w:val="28"/>
          <w:lang w:val="en-US" w:eastAsia="cs-CZ"/>
        </w:rPr>
        <w:t>mail</w:t>
      </w:r>
      <w:r w:rsidR="004C0B0A" w:rsidRPr="007B5134">
        <w:rPr>
          <w:bCs/>
          <w:iCs/>
          <w:color w:val="000000"/>
          <w:sz w:val="28"/>
          <w:szCs w:val="28"/>
          <w:lang w:eastAsia="cs-CZ"/>
        </w:rPr>
        <w:t xml:space="preserve">: </w:t>
      </w:r>
      <w:bookmarkStart w:id="7" w:name="_Hlk148426778"/>
      <w:r w:rsidR="00420605">
        <w:rPr>
          <w:bCs/>
          <w:iCs/>
          <w:sz w:val="28"/>
          <w:szCs w:val="28"/>
          <w:lang w:val="en-US" w:eastAsia="cs-CZ"/>
        </w:rPr>
        <w:fldChar w:fldCharType="begin"/>
      </w:r>
      <w:r w:rsidR="00420605" w:rsidRPr="00420605">
        <w:rPr>
          <w:bCs/>
          <w:iCs/>
          <w:sz w:val="28"/>
          <w:szCs w:val="28"/>
          <w:lang w:eastAsia="cs-CZ"/>
        </w:rPr>
        <w:instrText xml:space="preserve"> </w:instrText>
      </w:r>
      <w:r w:rsidR="00420605">
        <w:rPr>
          <w:bCs/>
          <w:iCs/>
          <w:sz w:val="28"/>
          <w:szCs w:val="28"/>
          <w:lang w:val="en-US" w:eastAsia="cs-CZ"/>
        </w:rPr>
        <w:instrText>HYPERLINK</w:instrText>
      </w:r>
      <w:r w:rsidR="00420605" w:rsidRPr="00420605">
        <w:rPr>
          <w:bCs/>
          <w:iCs/>
          <w:sz w:val="28"/>
          <w:szCs w:val="28"/>
          <w:lang w:eastAsia="cs-CZ"/>
        </w:rPr>
        <w:instrText xml:space="preserve"> "</w:instrText>
      </w:r>
      <w:r w:rsidR="00420605">
        <w:rPr>
          <w:bCs/>
          <w:iCs/>
          <w:sz w:val="28"/>
          <w:szCs w:val="28"/>
          <w:lang w:val="en-US" w:eastAsia="cs-CZ"/>
        </w:rPr>
        <w:instrText>mailto</w:instrText>
      </w:r>
      <w:r w:rsidR="00420605" w:rsidRPr="00420605">
        <w:rPr>
          <w:bCs/>
          <w:iCs/>
          <w:sz w:val="28"/>
          <w:szCs w:val="28"/>
          <w:lang w:eastAsia="cs-CZ"/>
        </w:rPr>
        <w:instrText>:</w:instrText>
      </w:r>
      <w:r w:rsidR="00420605" w:rsidRPr="00420605">
        <w:rPr>
          <w:bCs/>
          <w:iCs/>
          <w:sz w:val="28"/>
          <w:szCs w:val="28"/>
          <w:lang w:val="en-US" w:eastAsia="cs-CZ"/>
        </w:rPr>
        <w:instrText>info</w:instrText>
      </w:r>
      <w:r w:rsidR="00420605" w:rsidRPr="00420605">
        <w:rPr>
          <w:bCs/>
          <w:iCs/>
          <w:sz w:val="28"/>
          <w:szCs w:val="28"/>
          <w:lang w:eastAsia="cs-CZ"/>
        </w:rPr>
        <w:instrText>@</w:instrText>
      </w:r>
      <w:r w:rsidR="00420605">
        <w:rPr>
          <w:bCs/>
          <w:iCs/>
          <w:sz w:val="28"/>
          <w:szCs w:val="28"/>
          <w:lang w:val="en-US" w:eastAsia="cs-CZ"/>
        </w:rPr>
        <w:instrText>eugia</w:instrText>
      </w:r>
      <w:r w:rsidR="00420605" w:rsidRPr="00420605">
        <w:rPr>
          <w:bCs/>
          <w:iCs/>
          <w:sz w:val="28"/>
          <w:szCs w:val="28"/>
          <w:lang w:eastAsia="cs-CZ"/>
        </w:rPr>
        <w:instrText>.</w:instrText>
      </w:r>
      <w:r w:rsidR="00420605">
        <w:rPr>
          <w:bCs/>
          <w:iCs/>
          <w:sz w:val="28"/>
          <w:szCs w:val="28"/>
          <w:lang w:val="en-US" w:eastAsia="cs-CZ"/>
        </w:rPr>
        <w:instrText>co</w:instrText>
      </w:r>
      <w:r w:rsidR="00420605" w:rsidRPr="00420605">
        <w:rPr>
          <w:bCs/>
          <w:iCs/>
          <w:sz w:val="28"/>
          <w:szCs w:val="28"/>
          <w:lang w:eastAsia="cs-CZ"/>
        </w:rPr>
        <w:instrText>.</w:instrText>
      </w:r>
      <w:r w:rsidR="00420605">
        <w:rPr>
          <w:bCs/>
          <w:iCs/>
          <w:sz w:val="28"/>
          <w:szCs w:val="28"/>
          <w:lang w:val="en-US" w:eastAsia="cs-CZ"/>
        </w:rPr>
        <w:instrText>in</w:instrText>
      </w:r>
      <w:r w:rsidR="00420605" w:rsidRPr="00420605">
        <w:rPr>
          <w:bCs/>
          <w:iCs/>
          <w:sz w:val="28"/>
          <w:szCs w:val="28"/>
          <w:lang w:eastAsia="cs-CZ"/>
        </w:rPr>
        <w:instrText xml:space="preserve">" </w:instrText>
      </w:r>
      <w:r w:rsidR="00420605">
        <w:rPr>
          <w:bCs/>
          <w:iCs/>
          <w:sz w:val="28"/>
          <w:szCs w:val="28"/>
          <w:lang w:val="en-US" w:eastAsia="cs-CZ"/>
        </w:rPr>
        <w:fldChar w:fldCharType="separate"/>
      </w:r>
      <w:r w:rsidR="00420605" w:rsidRPr="006A028F">
        <w:rPr>
          <w:rStyle w:val="ad"/>
          <w:bCs/>
          <w:iCs/>
          <w:sz w:val="28"/>
          <w:szCs w:val="28"/>
          <w:lang w:val="en-US" w:eastAsia="cs-CZ"/>
        </w:rPr>
        <w:t>info</w:t>
      </w:r>
      <w:r w:rsidR="00420605" w:rsidRPr="006A028F">
        <w:rPr>
          <w:rStyle w:val="ad"/>
          <w:bCs/>
          <w:iCs/>
          <w:sz w:val="28"/>
          <w:szCs w:val="28"/>
          <w:lang w:eastAsia="cs-CZ"/>
        </w:rPr>
        <w:t>@</w:t>
      </w:r>
      <w:proofErr w:type="spellStart"/>
      <w:r w:rsidR="00420605" w:rsidRPr="006A028F">
        <w:rPr>
          <w:rStyle w:val="ad"/>
          <w:bCs/>
          <w:iCs/>
          <w:sz w:val="28"/>
          <w:szCs w:val="28"/>
          <w:lang w:val="en-US" w:eastAsia="cs-CZ"/>
        </w:rPr>
        <w:t>eugia</w:t>
      </w:r>
      <w:proofErr w:type="spellEnd"/>
      <w:r w:rsidR="00420605" w:rsidRPr="00420605">
        <w:rPr>
          <w:rStyle w:val="ad"/>
          <w:bCs/>
          <w:iCs/>
          <w:sz w:val="28"/>
          <w:szCs w:val="28"/>
          <w:lang w:eastAsia="cs-CZ"/>
        </w:rPr>
        <w:t>.</w:t>
      </w:r>
      <w:r w:rsidR="00420605" w:rsidRPr="006A028F">
        <w:rPr>
          <w:rStyle w:val="ad"/>
          <w:bCs/>
          <w:iCs/>
          <w:sz w:val="28"/>
          <w:szCs w:val="28"/>
          <w:lang w:val="en-US" w:eastAsia="cs-CZ"/>
        </w:rPr>
        <w:t>co</w:t>
      </w:r>
      <w:r w:rsidR="00420605" w:rsidRPr="00420605">
        <w:rPr>
          <w:rStyle w:val="ad"/>
          <w:bCs/>
          <w:iCs/>
          <w:sz w:val="28"/>
          <w:szCs w:val="28"/>
          <w:lang w:eastAsia="cs-CZ"/>
        </w:rPr>
        <w:t>.</w:t>
      </w:r>
      <w:r w:rsidR="00420605" w:rsidRPr="006A028F">
        <w:rPr>
          <w:rStyle w:val="ad"/>
          <w:bCs/>
          <w:iCs/>
          <w:sz w:val="28"/>
          <w:szCs w:val="28"/>
          <w:lang w:val="en-US" w:eastAsia="cs-CZ"/>
        </w:rPr>
        <w:t>in</w:t>
      </w:r>
      <w:r w:rsidR="00420605">
        <w:rPr>
          <w:bCs/>
          <w:iCs/>
          <w:sz w:val="28"/>
          <w:szCs w:val="28"/>
          <w:lang w:val="en-US" w:eastAsia="cs-CZ"/>
        </w:rPr>
        <w:fldChar w:fldCharType="end"/>
      </w:r>
      <w:bookmarkEnd w:id="7"/>
    </w:p>
    <w:p w14:paraId="17C1D4F7" w14:textId="77777777" w:rsidR="00420605" w:rsidRDefault="00420605" w:rsidP="00E7228E">
      <w:pPr>
        <w:jc w:val="both"/>
        <w:rPr>
          <w:b/>
          <w:color w:val="000000"/>
          <w:sz w:val="28"/>
          <w:lang w:val="uk-UA" w:eastAsia="cs-CZ"/>
        </w:rPr>
      </w:pPr>
    </w:p>
    <w:p w14:paraId="0213CF11" w14:textId="77777777" w:rsidR="00204BB3" w:rsidRDefault="00646111" w:rsidP="00946DAC">
      <w:pPr>
        <w:jc w:val="both"/>
        <w:rPr>
          <w:b/>
          <w:sz w:val="28"/>
          <w:szCs w:val="28"/>
          <w:lang w:eastAsia="de-DE"/>
        </w:rPr>
      </w:pPr>
      <w:bookmarkStart w:id="8" w:name="_Hlk148534770"/>
      <w:r w:rsidRPr="00946DAC">
        <w:rPr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946DAC">
        <w:rPr>
          <w:b/>
          <w:iCs/>
          <w:sz w:val="28"/>
          <w:szCs w:val="28"/>
        </w:rPr>
        <w:t xml:space="preserve">на территории Республики </w:t>
      </w:r>
      <w:r w:rsidRPr="00946DAC">
        <w:rPr>
          <w:b/>
          <w:iCs/>
          <w:sz w:val="28"/>
          <w:szCs w:val="28"/>
        </w:rPr>
        <w:lastRenderedPageBreak/>
        <w:t>Казахстан, принимающей претензии (предложения)  по качеству лекарственных  средств  от потребителей</w:t>
      </w:r>
      <w:r w:rsidRPr="00946DAC">
        <w:rPr>
          <w:b/>
          <w:sz w:val="28"/>
          <w:szCs w:val="28"/>
          <w:lang w:val="de-DE" w:eastAsia="de-DE"/>
        </w:rPr>
        <w:t xml:space="preserve"> </w:t>
      </w:r>
      <w:r w:rsidR="00420605">
        <w:rPr>
          <w:b/>
          <w:sz w:val="28"/>
          <w:szCs w:val="28"/>
          <w:lang w:eastAsia="de-DE"/>
        </w:rPr>
        <w:t xml:space="preserve"> и </w:t>
      </w:r>
      <w:r w:rsidR="00420605" w:rsidRPr="00420605">
        <w:rPr>
          <w:b/>
          <w:sz w:val="28"/>
          <w:szCs w:val="28"/>
          <w:lang w:eastAsia="de-DE"/>
        </w:rPr>
        <w:t>ответственной за пострегистрационное наблюдение за безопасностью лекарственного средства</w:t>
      </w:r>
    </w:p>
    <w:p w14:paraId="4CFB6FA7" w14:textId="77777777" w:rsidR="00420605" w:rsidRDefault="00420605" w:rsidP="00946DAC">
      <w:pPr>
        <w:jc w:val="both"/>
        <w:rPr>
          <w:bCs/>
          <w:sz w:val="28"/>
          <w:szCs w:val="28"/>
          <w:lang w:eastAsia="de-DE"/>
        </w:rPr>
      </w:pPr>
      <w:r>
        <w:rPr>
          <w:bCs/>
          <w:sz w:val="28"/>
          <w:szCs w:val="28"/>
          <w:lang w:eastAsia="de-DE"/>
        </w:rPr>
        <w:t xml:space="preserve">ТОО </w:t>
      </w:r>
      <w:r w:rsidRPr="00420605">
        <w:rPr>
          <w:bCs/>
          <w:sz w:val="28"/>
          <w:szCs w:val="28"/>
          <w:lang w:eastAsia="de-DE"/>
        </w:rPr>
        <w:t>“</w:t>
      </w:r>
      <w:r>
        <w:rPr>
          <w:bCs/>
          <w:sz w:val="28"/>
          <w:szCs w:val="28"/>
          <w:lang w:val="en-US" w:eastAsia="de-DE"/>
        </w:rPr>
        <w:t>LEKARSTVENNAYA</w:t>
      </w:r>
      <w:r w:rsidRPr="00420605">
        <w:rPr>
          <w:bCs/>
          <w:sz w:val="28"/>
          <w:szCs w:val="28"/>
          <w:lang w:eastAsia="de-DE"/>
        </w:rPr>
        <w:t xml:space="preserve"> </w:t>
      </w:r>
      <w:r>
        <w:rPr>
          <w:bCs/>
          <w:sz w:val="28"/>
          <w:szCs w:val="28"/>
          <w:lang w:val="en-US" w:eastAsia="de-DE"/>
        </w:rPr>
        <w:t>BEZOPASNOST</w:t>
      </w:r>
      <w:r w:rsidR="003E23B5">
        <w:rPr>
          <w:bCs/>
          <w:sz w:val="28"/>
          <w:szCs w:val="28"/>
          <w:lang w:eastAsia="de-DE"/>
        </w:rPr>
        <w:t xml:space="preserve"> </w:t>
      </w:r>
      <w:r w:rsidRPr="00420605">
        <w:rPr>
          <w:bCs/>
          <w:sz w:val="28"/>
          <w:szCs w:val="28"/>
          <w:lang w:eastAsia="de-DE"/>
        </w:rPr>
        <w:t>(</w:t>
      </w:r>
      <w:r>
        <w:rPr>
          <w:bCs/>
          <w:sz w:val="28"/>
          <w:szCs w:val="28"/>
          <w:lang w:eastAsia="de-DE"/>
        </w:rPr>
        <w:t>Лекарственная безопасность</w:t>
      </w:r>
      <w:r w:rsidRPr="00420605">
        <w:rPr>
          <w:bCs/>
          <w:sz w:val="28"/>
          <w:szCs w:val="28"/>
          <w:lang w:eastAsia="de-DE"/>
        </w:rPr>
        <w:t>)”</w:t>
      </w:r>
    </w:p>
    <w:p w14:paraId="64F74783" w14:textId="77777777" w:rsidR="00420605" w:rsidRDefault="00420605" w:rsidP="00420605">
      <w:pPr>
        <w:rPr>
          <w:bCs/>
          <w:sz w:val="28"/>
          <w:szCs w:val="28"/>
          <w:lang w:eastAsia="de-DE"/>
        </w:rPr>
      </w:pPr>
      <w:r>
        <w:rPr>
          <w:bCs/>
          <w:sz w:val="28"/>
          <w:szCs w:val="28"/>
          <w:lang w:eastAsia="de-DE"/>
        </w:rPr>
        <w:t xml:space="preserve">050047, Казахстан, город Алматы, Алатауский район, микрорайон </w:t>
      </w:r>
      <w:proofErr w:type="spellStart"/>
      <w:r>
        <w:rPr>
          <w:bCs/>
          <w:sz w:val="28"/>
          <w:szCs w:val="28"/>
          <w:lang w:eastAsia="de-DE"/>
        </w:rPr>
        <w:t>Саялы</w:t>
      </w:r>
      <w:proofErr w:type="spellEnd"/>
      <w:r>
        <w:rPr>
          <w:bCs/>
          <w:sz w:val="28"/>
          <w:szCs w:val="28"/>
          <w:lang w:eastAsia="de-DE"/>
        </w:rPr>
        <w:t>, д.16, кв.8.</w:t>
      </w:r>
    </w:p>
    <w:p w14:paraId="7D7F685E" w14:textId="77777777" w:rsidR="00384A2F" w:rsidRDefault="00420605" w:rsidP="00420605">
      <w:pPr>
        <w:rPr>
          <w:bCs/>
          <w:sz w:val="28"/>
          <w:szCs w:val="28"/>
          <w:lang w:val="en-US" w:eastAsia="de-DE"/>
        </w:rPr>
      </w:pPr>
      <w:r>
        <w:rPr>
          <w:bCs/>
          <w:sz w:val="28"/>
          <w:szCs w:val="28"/>
          <w:lang w:eastAsia="de-DE"/>
        </w:rPr>
        <w:t>Тел</w:t>
      </w:r>
      <w:r w:rsidRPr="00420605">
        <w:rPr>
          <w:bCs/>
          <w:sz w:val="28"/>
          <w:szCs w:val="28"/>
          <w:lang w:val="en-US" w:eastAsia="de-DE"/>
        </w:rPr>
        <w:t xml:space="preserve">.: +7 777 064 27 02, +7 499 504-15-19, </w:t>
      </w:r>
    </w:p>
    <w:p w14:paraId="1BD3E10D" w14:textId="77777777" w:rsidR="00420605" w:rsidRPr="00420605" w:rsidRDefault="00420605" w:rsidP="00420605">
      <w:pPr>
        <w:rPr>
          <w:bCs/>
          <w:sz w:val="28"/>
          <w:szCs w:val="28"/>
          <w:lang w:val="en-US" w:eastAsia="de-DE"/>
        </w:rPr>
      </w:pPr>
      <w:r>
        <w:rPr>
          <w:bCs/>
          <w:sz w:val="28"/>
          <w:szCs w:val="28"/>
          <w:lang w:val="en-US" w:eastAsia="de-DE"/>
        </w:rPr>
        <w:t>e-mail</w:t>
      </w:r>
      <w:r w:rsidRPr="00420605">
        <w:rPr>
          <w:bCs/>
          <w:sz w:val="28"/>
          <w:szCs w:val="28"/>
          <w:lang w:val="en-US" w:eastAsia="de-DE"/>
        </w:rPr>
        <w:t xml:space="preserve">: </w:t>
      </w:r>
      <w:hyperlink r:id="rId10" w:history="1">
        <w:r w:rsidRPr="006A028F">
          <w:rPr>
            <w:rStyle w:val="ad"/>
            <w:bCs/>
            <w:sz w:val="28"/>
            <w:szCs w:val="28"/>
            <w:lang w:val="en-US" w:eastAsia="de-DE"/>
          </w:rPr>
          <w:t>adversereaction@drugsafety.ru</w:t>
        </w:r>
      </w:hyperlink>
    </w:p>
    <w:bookmarkEnd w:id="8"/>
    <w:p w14:paraId="2A6D6FCA" w14:textId="77777777" w:rsidR="00420605" w:rsidRPr="00420605" w:rsidRDefault="00420605" w:rsidP="00946DAC">
      <w:pPr>
        <w:jc w:val="both"/>
        <w:rPr>
          <w:bCs/>
          <w:sz w:val="28"/>
          <w:szCs w:val="28"/>
          <w:lang w:val="en-US" w:eastAsia="de-DE"/>
        </w:rPr>
      </w:pPr>
    </w:p>
    <w:p w14:paraId="43665779" w14:textId="77777777" w:rsidR="00752A97" w:rsidRPr="00420605" w:rsidRDefault="00752A97" w:rsidP="00752A97">
      <w:pPr>
        <w:jc w:val="both"/>
        <w:rPr>
          <w:bCs/>
          <w:iCs/>
          <w:color w:val="000000"/>
          <w:sz w:val="28"/>
          <w:lang w:val="en-US" w:eastAsia="cs-CZ"/>
        </w:rPr>
      </w:pPr>
    </w:p>
    <w:p w14:paraId="4836948C" w14:textId="77777777" w:rsidR="00E2119A" w:rsidRPr="00EF0276" w:rsidRDefault="00E2119A" w:rsidP="00EF0276">
      <w:pPr>
        <w:autoSpaceDE w:val="0"/>
        <w:autoSpaceDN w:val="0"/>
        <w:jc w:val="both"/>
        <w:rPr>
          <w:bCs/>
          <w:iCs/>
          <w:sz w:val="28"/>
          <w:szCs w:val="28"/>
          <w:lang w:val="cs-CZ"/>
        </w:rPr>
      </w:pPr>
    </w:p>
    <w:p w14:paraId="70EDA5A9" w14:textId="7B05D298" w:rsidR="009F543E" w:rsidRDefault="009F543E"/>
    <w:sectPr w:rsidR="009F543E" w:rsidSect="00037076">
      <w:footerReference w:type="even" r:id="rId11"/>
      <w:footerReference w:type="default" r:id="rId12"/>
      <w:footerReference w:type="first" r:id="rId13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F532" w14:textId="77777777" w:rsidR="00F45BB6" w:rsidRDefault="00F45BB6" w:rsidP="008C777B">
      <w:r>
        <w:separator/>
      </w:r>
    </w:p>
  </w:endnote>
  <w:endnote w:type="continuationSeparator" w:id="0">
    <w:p w14:paraId="78E523DB" w14:textId="77777777" w:rsidR="00F45BB6" w:rsidRDefault="00F45BB6" w:rsidP="008C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C710" w14:textId="77777777" w:rsidR="009D472B" w:rsidRDefault="00F45BB6"/>
  <w:p w14:paraId="47F094C4" w14:textId="77777777" w:rsidR="009F543E" w:rsidRDefault="00F45BB6">
    <w:r>
      <w:rPr>
        <w:sz w:val="22"/>
        <w:szCs w:val="22"/>
      </w:rPr>
      <w:t>Решение: N072269</w:t>
    </w:r>
    <w:r>
      <w:rPr>
        <w:sz w:val="22"/>
        <w:szCs w:val="22"/>
      </w:rPr>
      <w:br/>
      <w:t>Дата решения: 05.03.2024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sz w:val="22"/>
        <w:szCs w:val="22"/>
      </w:rPr>
      <w:br/>
      <w:t>(Комитет медицинского и фармацевтическо</w:t>
    </w:r>
    <w:r>
      <w:rPr>
        <w:sz w:val="22"/>
        <w:szCs w:val="22"/>
      </w:rPr>
      <w:t>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8C3C" w14:textId="77777777" w:rsidR="009D472B" w:rsidRDefault="00F45BB6"/>
  <w:p w14:paraId="0315B43D" w14:textId="53262FD5" w:rsidR="009F543E" w:rsidRDefault="009F54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3DFB" w14:textId="77777777" w:rsidR="009D472B" w:rsidRDefault="00F45BB6"/>
  <w:p w14:paraId="27ACAE69" w14:textId="77777777" w:rsidR="009F543E" w:rsidRDefault="00F45BB6">
    <w:r>
      <w:rPr>
        <w:sz w:val="22"/>
        <w:szCs w:val="22"/>
      </w:rPr>
      <w:t>Решение: N072269</w:t>
    </w:r>
    <w:r>
      <w:rPr>
        <w:sz w:val="22"/>
        <w:szCs w:val="22"/>
      </w:rPr>
      <w:br/>
      <w:t>Дата</w:t>
    </w:r>
    <w:r>
      <w:rPr>
        <w:sz w:val="22"/>
        <w:szCs w:val="22"/>
      </w:rPr>
      <w:t xml:space="preserve"> решения: 05.03.2024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</w:t>
    </w:r>
    <w:r>
      <w:rPr>
        <w:sz w:val="22"/>
        <w:szCs w:val="22"/>
      </w:rPr>
      <w:t>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CBAD" w14:textId="77777777" w:rsidR="00F45BB6" w:rsidRDefault="00F45BB6" w:rsidP="008C777B">
      <w:r>
        <w:separator/>
      </w:r>
    </w:p>
  </w:footnote>
  <w:footnote w:type="continuationSeparator" w:id="0">
    <w:p w14:paraId="6E6CED49" w14:textId="77777777" w:rsidR="00F45BB6" w:rsidRDefault="00F45BB6" w:rsidP="008C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2ED4"/>
    <w:multiLevelType w:val="hybridMultilevel"/>
    <w:tmpl w:val="524A4192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4794"/>
    <w:multiLevelType w:val="hybridMultilevel"/>
    <w:tmpl w:val="60004062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62E42"/>
    <w:multiLevelType w:val="hybridMultilevel"/>
    <w:tmpl w:val="A6D85690"/>
    <w:lvl w:ilvl="0" w:tplc="CFCC5752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567AE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5226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CAF0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A83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02E2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25F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28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C28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57BF"/>
    <w:multiLevelType w:val="hybridMultilevel"/>
    <w:tmpl w:val="E74A98D0"/>
    <w:lvl w:ilvl="0" w:tplc="EBA0168A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32262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9C5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6829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EE8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EA8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E79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886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B05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F2BE3"/>
    <w:multiLevelType w:val="hybridMultilevel"/>
    <w:tmpl w:val="DEEC8D44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F3423"/>
    <w:multiLevelType w:val="hybridMultilevel"/>
    <w:tmpl w:val="AC68A65E"/>
    <w:lvl w:ilvl="0" w:tplc="7CA6566A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8B165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3EA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A0B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688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6C13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AC9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867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20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18FC"/>
    <w:multiLevelType w:val="hybridMultilevel"/>
    <w:tmpl w:val="6DC6CDD2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764B7"/>
    <w:multiLevelType w:val="hybridMultilevel"/>
    <w:tmpl w:val="38B4C6FA"/>
    <w:lvl w:ilvl="0" w:tplc="6BA872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B6662"/>
    <w:multiLevelType w:val="hybridMultilevel"/>
    <w:tmpl w:val="0C602C68"/>
    <w:lvl w:ilvl="0" w:tplc="6BA872FE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5C462CED"/>
    <w:multiLevelType w:val="hybridMultilevel"/>
    <w:tmpl w:val="7DF20CDE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D7ADD"/>
    <w:multiLevelType w:val="hybridMultilevel"/>
    <w:tmpl w:val="901A9F62"/>
    <w:lvl w:ilvl="0" w:tplc="5CE4108A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E22E7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58E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0EB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2C5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56A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662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6E0C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482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8369E"/>
    <w:multiLevelType w:val="hybridMultilevel"/>
    <w:tmpl w:val="E132ECAE"/>
    <w:lvl w:ilvl="0" w:tplc="2A50BE18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1C32FA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56E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21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037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41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CB0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49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028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A115D"/>
    <w:multiLevelType w:val="hybridMultilevel"/>
    <w:tmpl w:val="AF62E590"/>
    <w:lvl w:ilvl="0" w:tplc="6BA872F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8282580"/>
    <w:multiLevelType w:val="hybridMultilevel"/>
    <w:tmpl w:val="8CE83230"/>
    <w:lvl w:ilvl="0" w:tplc="2BEA06B2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1AB4B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AF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C73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68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E2BF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6B5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810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8621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D6307"/>
    <w:multiLevelType w:val="hybridMultilevel"/>
    <w:tmpl w:val="53DA59EE"/>
    <w:lvl w:ilvl="0" w:tplc="DE1EC806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4474A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9A1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8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6E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74D9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E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60E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8E2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D441B"/>
    <w:multiLevelType w:val="hybridMultilevel"/>
    <w:tmpl w:val="EB84B220"/>
    <w:lvl w:ilvl="0" w:tplc="6BA8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350ED"/>
    <w:multiLevelType w:val="hybridMultilevel"/>
    <w:tmpl w:val="B8EA79B8"/>
    <w:lvl w:ilvl="0" w:tplc="6C821152">
      <w:start w:val="1"/>
      <w:numFmt w:val="bullet"/>
      <w:lvlText w:val=""/>
      <w:lvlJc w:val="left"/>
      <w:pPr>
        <w:tabs>
          <w:tab w:val="num" w:pos="414"/>
        </w:tabs>
        <w:ind w:left="414" w:hanging="414"/>
      </w:pPr>
      <w:rPr>
        <w:rFonts w:ascii="Symbol" w:hAnsi="Symbol" w:hint="default"/>
      </w:rPr>
    </w:lvl>
    <w:lvl w:ilvl="1" w:tplc="B2C851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EABF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12EA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034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02B7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A02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E2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D61C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6"/>
  </w:num>
  <w:num w:numId="6">
    <w:abstractNumId w:val="5"/>
  </w:num>
  <w:num w:numId="7">
    <w:abstractNumId w:val="2"/>
  </w:num>
  <w:num w:numId="8">
    <w:abstractNumId w:val="3"/>
  </w:num>
  <w:num w:numId="9">
    <w:abstractNumId w:val="15"/>
  </w:num>
  <w:num w:numId="10">
    <w:abstractNumId w:val="7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6"/>
  </w:num>
  <w:num w:numId="16">
    <w:abstractNumId w:val="4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F7"/>
    <w:rsid w:val="00001AFE"/>
    <w:rsid w:val="00021AB0"/>
    <w:rsid w:val="00024C51"/>
    <w:rsid w:val="00033737"/>
    <w:rsid w:val="00037076"/>
    <w:rsid w:val="00082B2F"/>
    <w:rsid w:val="00087272"/>
    <w:rsid w:val="000A058C"/>
    <w:rsid w:val="000A56FD"/>
    <w:rsid w:val="000B0A0A"/>
    <w:rsid w:val="000B437F"/>
    <w:rsid w:val="000B5C38"/>
    <w:rsid w:val="000C3F15"/>
    <w:rsid w:val="000D2220"/>
    <w:rsid w:val="000D7009"/>
    <w:rsid w:val="000E0FCB"/>
    <w:rsid w:val="000E71A3"/>
    <w:rsid w:val="00120AD4"/>
    <w:rsid w:val="00124E1C"/>
    <w:rsid w:val="00135C07"/>
    <w:rsid w:val="00141114"/>
    <w:rsid w:val="0014598F"/>
    <w:rsid w:val="001578F8"/>
    <w:rsid w:val="00160FB9"/>
    <w:rsid w:val="00163499"/>
    <w:rsid w:val="001657D0"/>
    <w:rsid w:val="00165995"/>
    <w:rsid w:val="0017102B"/>
    <w:rsid w:val="00186932"/>
    <w:rsid w:val="00196160"/>
    <w:rsid w:val="001A1474"/>
    <w:rsid w:val="001B6908"/>
    <w:rsid w:val="001D2AD4"/>
    <w:rsid w:val="001D4B87"/>
    <w:rsid w:val="001E31E0"/>
    <w:rsid w:val="001E7421"/>
    <w:rsid w:val="001F14D6"/>
    <w:rsid w:val="00200774"/>
    <w:rsid w:val="002045D9"/>
    <w:rsid w:val="00204BB3"/>
    <w:rsid w:val="00205A9A"/>
    <w:rsid w:val="00214C12"/>
    <w:rsid w:val="002270DC"/>
    <w:rsid w:val="00234F0F"/>
    <w:rsid w:val="002430E9"/>
    <w:rsid w:val="00244F6D"/>
    <w:rsid w:val="002511A3"/>
    <w:rsid w:val="00252A68"/>
    <w:rsid w:val="00254E3C"/>
    <w:rsid w:val="00264AE2"/>
    <w:rsid w:val="00265B74"/>
    <w:rsid w:val="0029367E"/>
    <w:rsid w:val="002A1A3C"/>
    <w:rsid w:val="002A3A27"/>
    <w:rsid w:val="002A7AA9"/>
    <w:rsid w:val="002B6755"/>
    <w:rsid w:val="002C290F"/>
    <w:rsid w:val="002D1785"/>
    <w:rsid w:val="002E0DDD"/>
    <w:rsid w:val="002F2BE9"/>
    <w:rsid w:val="002F63C6"/>
    <w:rsid w:val="003167D0"/>
    <w:rsid w:val="0032762D"/>
    <w:rsid w:val="00327DF8"/>
    <w:rsid w:val="0034335F"/>
    <w:rsid w:val="003522DA"/>
    <w:rsid w:val="0035757C"/>
    <w:rsid w:val="0036361A"/>
    <w:rsid w:val="00364EE4"/>
    <w:rsid w:val="00367CD9"/>
    <w:rsid w:val="0037338D"/>
    <w:rsid w:val="00373C8C"/>
    <w:rsid w:val="00383370"/>
    <w:rsid w:val="00383DCD"/>
    <w:rsid w:val="00384A2F"/>
    <w:rsid w:val="00396C11"/>
    <w:rsid w:val="003A38BE"/>
    <w:rsid w:val="003A3FE4"/>
    <w:rsid w:val="003A71C9"/>
    <w:rsid w:val="003B0564"/>
    <w:rsid w:val="003B14A9"/>
    <w:rsid w:val="003B2AE8"/>
    <w:rsid w:val="003B2CB5"/>
    <w:rsid w:val="003B6889"/>
    <w:rsid w:val="003E18B2"/>
    <w:rsid w:val="003E23B5"/>
    <w:rsid w:val="003F2447"/>
    <w:rsid w:val="003F28D5"/>
    <w:rsid w:val="003F58B5"/>
    <w:rsid w:val="003F78CA"/>
    <w:rsid w:val="00405ADD"/>
    <w:rsid w:val="004108F4"/>
    <w:rsid w:val="00416507"/>
    <w:rsid w:val="004177B9"/>
    <w:rsid w:val="00420605"/>
    <w:rsid w:val="0042259A"/>
    <w:rsid w:val="00423F62"/>
    <w:rsid w:val="00425739"/>
    <w:rsid w:val="004258BA"/>
    <w:rsid w:val="004346B7"/>
    <w:rsid w:val="004413EE"/>
    <w:rsid w:val="00442557"/>
    <w:rsid w:val="00450B06"/>
    <w:rsid w:val="00454FB8"/>
    <w:rsid w:val="004621D9"/>
    <w:rsid w:val="00462F16"/>
    <w:rsid w:val="004700F1"/>
    <w:rsid w:val="004730BE"/>
    <w:rsid w:val="0047616F"/>
    <w:rsid w:val="00477DF5"/>
    <w:rsid w:val="00496649"/>
    <w:rsid w:val="00497B03"/>
    <w:rsid w:val="004B1C6F"/>
    <w:rsid w:val="004B6C17"/>
    <w:rsid w:val="004C0B0A"/>
    <w:rsid w:val="004E1955"/>
    <w:rsid w:val="004E48EA"/>
    <w:rsid w:val="004E6424"/>
    <w:rsid w:val="004F13EF"/>
    <w:rsid w:val="004F374A"/>
    <w:rsid w:val="004F6D17"/>
    <w:rsid w:val="005278BF"/>
    <w:rsid w:val="00527E3E"/>
    <w:rsid w:val="00537236"/>
    <w:rsid w:val="00541523"/>
    <w:rsid w:val="005432C0"/>
    <w:rsid w:val="0054596A"/>
    <w:rsid w:val="005464E7"/>
    <w:rsid w:val="005466E2"/>
    <w:rsid w:val="00552A2D"/>
    <w:rsid w:val="00565A24"/>
    <w:rsid w:val="0056681D"/>
    <w:rsid w:val="00570EF2"/>
    <w:rsid w:val="00571DD1"/>
    <w:rsid w:val="00572DF0"/>
    <w:rsid w:val="005A5C9F"/>
    <w:rsid w:val="005B47CF"/>
    <w:rsid w:val="005B6741"/>
    <w:rsid w:val="005E58B9"/>
    <w:rsid w:val="005F4535"/>
    <w:rsid w:val="005F6936"/>
    <w:rsid w:val="00610373"/>
    <w:rsid w:val="00611E83"/>
    <w:rsid w:val="00613864"/>
    <w:rsid w:val="00626322"/>
    <w:rsid w:val="00631271"/>
    <w:rsid w:val="00631E38"/>
    <w:rsid w:val="00641369"/>
    <w:rsid w:val="006436D6"/>
    <w:rsid w:val="00646111"/>
    <w:rsid w:val="00650AC7"/>
    <w:rsid w:val="00674BD4"/>
    <w:rsid w:val="00681617"/>
    <w:rsid w:val="00694DBD"/>
    <w:rsid w:val="0069510B"/>
    <w:rsid w:val="006C4EA3"/>
    <w:rsid w:val="006C6737"/>
    <w:rsid w:val="006D1EBD"/>
    <w:rsid w:val="006D445D"/>
    <w:rsid w:val="006D69F5"/>
    <w:rsid w:val="006E66CE"/>
    <w:rsid w:val="006E7199"/>
    <w:rsid w:val="006F1B12"/>
    <w:rsid w:val="006F4529"/>
    <w:rsid w:val="006F67B8"/>
    <w:rsid w:val="007000F7"/>
    <w:rsid w:val="00701C3D"/>
    <w:rsid w:val="00706EE4"/>
    <w:rsid w:val="0071638A"/>
    <w:rsid w:val="0072773A"/>
    <w:rsid w:val="007306AA"/>
    <w:rsid w:val="00745730"/>
    <w:rsid w:val="00751C74"/>
    <w:rsid w:val="00752A97"/>
    <w:rsid w:val="00755BF6"/>
    <w:rsid w:val="00755FF8"/>
    <w:rsid w:val="00766CB4"/>
    <w:rsid w:val="00773B6F"/>
    <w:rsid w:val="00773FDA"/>
    <w:rsid w:val="007969BF"/>
    <w:rsid w:val="007A752A"/>
    <w:rsid w:val="007B262C"/>
    <w:rsid w:val="007B5134"/>
    <w:rsid w:val="007D43BE"/>
    <w:rsid w:val="007D450F"/>
    <w:rsid w:val="007D4DEF"/>
    <w:rsid w:val="007E4B9D"/>
    <w:rsid w:val="007E6334"/>
    <w:rsid w:val="007F3732"/>
    <w:rsid w:val="007F5F44"/>
    <w:rsid w:val="00801549"/>
    <w:rsid w:val="00812FD5"/>
    <w:rsid w:val="0083034A"/>
    <w:rsid w:val="00842457"/>
    <w:rsid w:val="00843262"/>
    <w:rsid w:val="0086549E"/>
    <w:rsid w:val="0086720A"/>
    <w:rsid w:val="00884DE6"/>
    <w:rsid w:val="008A3E71"/>
    <w:rsid w:val="008A4A97"/>
    <w:rsid w:val="008A71B3"/>
    <w:rsid w:val="008B245E"/>
    <w:rsid w:val="008C0BF3"/>
    <w:rsid w:val="008C458F"/>
    <w:rsid w:val="008C6AE5"/>
    <w:rsid w:val="008C777B"/>
    <w:rsid w:val="008D5574"/>
    <w:rsid w:val="008D7D95"/>
    <w:rsid w:val="008E063D"/>
    <w:rsid w:val="008E29CF"/>
    <w:rsid w:val="008E3606"/>
    <w:rsid w:val="008F48FB"/>
    <w:rsid w:val="008F5C82"/>
    <w:rsid w:val="00900B21"/>
    <w:rsid w:val="0091142E"/>
    <w:rsid w:val="00914EBC"/>
    <w:rsid w:val="009232BC"/>
    <w:rsid w:val="009300A8"/>
    <w:rsid w:val="009458A8"/>
    <w:rsid w:val="00946DAC"/>
    <w:rsid w:val="00946E78"/>
    <w:rsid w:val="0095788D"/>
    <w:rsid w:val="00961796"/>
    <w:rsid w:val="00971C9C"/>
    <w:rsid w:val="00972BF0"/>
    <w:rsid w:val="009843B4"/>
    <w:rsid w:val="00987C29"/>
    <w:rsid w:val="009A0954"/>
    <w:rsid w:val="009B151E"/>
    <w:rsid w:val="009B5CC0"/>
    <w:rsid w:val="009D5E8B"/>
    <w:rsid w:val="009E6751"/>
    <w:rsid w:val="009E6AEC"/>
    <w:rsid w:val="009E6CF6"/>
    <w:rsid w:val="009F543E"/>
    <w:rsid w:val="00A011EB"/>
    <w:rsid w:val="00A11F46"/>
    <w:rsid w:val="00A14442"/>
    <w:rsid w:val="00A1796E"/>
    <w:rsid w:val="00A25718"/>
    <w:rsid w:val="00A27F1B"/>
    <w:rsid w:val="00A32A38"/>
    <w:rsid w:val="00A3492F"/>
    <w:rsid w:val="00A35DF3"/>
    <w:rsid w:val="00A3633C"/>
    <w:rsid w:val="00A36A74"/>
    <w:rsid w:val="00A620BF"/>
    <w:rsid w:val="00A758C4"/>
    <w:rsid w:val="00A86E93"/>
    <w:rsid w:val="00A92294"/>
    <w:rsid w:val="00A93F5C"/>
    <w:rsid w:val="00A94B74"/>
    <w:rsid w:val="00A96ABA"/>
    <w:rsid w:val="00A9706E"/>
    <w:rsid w:val="00AA059D"/>
    <w:rsid w:val="00AB173E"/>
    <w:rsid w:val="00AB256F"/>
    <w:rsid w:val="00AB62B0"/>
    <w:rsid w:val="00AB757D"/>
    <w:rsid w:val="00AC0000"/>
    <w:rsid w:val="00AC07CA"/>
    <w:rsid w:val="00AC1B62"/>
    <w:rsid w:val="00AC37B0"/>
    <w:rsid w:val="00AD3D22"/>
    <w:rsid w:val="00AD41EF"/>
    <w:rsid w:val="00AD750F"/>
    <w:rsid w:val="00AD7DE6"/>
    <w:rsid w:val="00AE637B"/>
    <w:rsid w:val="00AF0E5F"/>
    <w:rsid w:val="00B032FB"/>
    <w:rsid w:val="00B11AC3"/>
    <w:rsid w:val="00B278F6"/>
    <w:rsid w:val="00B331B7"/>
    <w:rsid w:val="00B34D37"/>
    <w:rsid w:val="00B54EBF"/>
    <w:rsid w:val="00B567C7"/>
    <w:rsid w:val="00B702B3"/>
    <w:rsid w:val="00B73285"/>
    <w:rsid w:val="00BA2AF7"/>
    <w:rsid w:val="00BB1EDC"/>
    <w:rsid w:val="00BB67BE"/>
    <w:rsid w:val="00BC2630"/>
    <w:rsid w:val="00BC558C"/>
    <w:rsid w:val="00BD4FAA"/>
    <w:rsid w:val="00C0227D"/>
    <w:rsid w:val="00C136FE"/>
    <w:rsid w:val="00C176E0"/>
    <w:rsid w:val="00C250BF"/>
    <w:rsid w:val="00C258AC"/>
    <w:rsid w:val="00C3215E"/>
    <w:rsid w:val="00C33F13"/>
    <w:rsid w:val="00C3466B"/>
    <w:rsid w:val="00C35240"/>
    <w:rsid w:val="00C53CEF"/>
    <w:rsid w:val="00C666BD"/>
    <w:rsid w:val="00C704FA"/>
    <w:rsid w:val="00C77BCE"/>
    <w:rsid w:val="00C86658"/>
    <w:rsid w:val="00C95449"/>
    <w:rsid w:val="00CB4C8F"/>
    <w:rsid w:val="00CD0558"/>
    <w:rsid w:val="00CD27D8"/>
    <w:rsid w:val="00CD597C"/>
    <w:rsid w:val="00CD5984"/>
    <w:rsid w:val="00CF2189"/>
    <w:rsid w:val="00D02EDB"/>
    <w:rsid w:val="00D03A5F"/>
    <w:rsid w:val="00D11F71"/>
    <w:rsid w:val="00D12AAA"/>
    <w:rsid w:val="00D33CC5"/>
    <w:rsid w:val="00D372A7"/>
    <w:rsid w:val="00D72440"/>
    <w:rsid w:val="00D75911"/>
    <w:rsid w:val="00D8003B"/>
    <w:rsid w:val="00D81607"/>
    <w:rsid w:val="00D81C92"/>
    <w:rsid w:val="00D917E1"/>
    <w:rsid w:val="00D94471"/>
    <w:rsid w:val="00D94DE7"/>
    <w:rsid w:val="00DA366B"/>
    <w:rsid w:val="00DA3767"/>
    <w:rsid w:val="00DA74C0"/>
    <w:rsid w:val="00DD34C2"/>
    <w:rsid w:val="00DD5919"/>
    <w:rsid w:val="00DF1F03"/>
    <w:rsid w:val="00DF71A0"/>
    <w:rsid w:val="00E04091"/>
    <w:rsid w:val="00E1426E"/>
    <w:rsid w:val="00E2119A"/>
    <w:rsid w:val="00E32C14"/>
    <w:rsid w:val="00E45E93"/>
    <w:rsid w:val="00E555C6"/>
    <w:rsid w:val="00E56831"/>
    <w:rsid w:val="00E6073D"/>
    <w:rsid w:val="00E64830"/>
    <w:rsid w:val="00E7228E"/>
    <w:rsid w:val="00E763B7"/>
    <w:rsid w:val="00E80573"/>
    <w:rsid w:val="00EC0A33"/>
    <w:rsid w:val="00EC48D1"/>
    <w:rsid w:val="00EC76DE"/>
    <w:rsid w:val="00ED2BF9"/>
    <w:rsid w:val="00EE0CFD"/>
    <w:rsid w:val="00EE3372"/>
    <w:rsid w:val="00EF0276"/>
    <w:rsid w:val="00F037A7"/>
    <w:rsid w:val="00F04C58"/>
    <w:rsid w:val="00F058CC"/>
    <w:rsid w:val="00F05A95"/>
    <w:rsid w:val="00F11528"/>
    <w:rsid w:val="00F33A94"/>
    <w:rsid w:val="00F37F58"/>
    <w:rsid w:val="00F45BB6"/>
    <w:rsid w:val="00F46C03"/>
    <w:rsid w:val="00F52551"/>
    <w:rsid w:val="00F545C3"/>
    <w:rsid w:val="00F665F2"/>
    <w:rsid w:val="00F7351D"/>
    <w:rsid w:val="00F77F88"/>
    <w:rsid w:val="00F94188"/>
    <w:rsid w:val="00F942C7"/>
    <w:rsid w:val="00F946FC"/>
    <w:rsid w:val="00F96BDA"/>
    <w:rsid w:val="00FB0E59"/>
    <w:rsid w:val="00FC4E26"/>
    <w:rsid w:val="00FC500D"/>
    <w:rsid w:val="00FC7F58"/>
    <w:rsid w:val="00FD6690"/>
    <w:rsid w:val="00F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34A6"/>
  <w15:docId w15:val="{DE93D3E6-0ACA-43B3-BC3B-4BCA5E5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F7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72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5984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00F7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link w:val="a3"/>
    <w:rsid w:val="007000F7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000F7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7000F7"/>
  </w:style>
  <w:style w:type="paragraph" w:customStyle="1" w:styleId="WW-2">
    <w:name w:val="WW-Основной текст 2"/>
    <w:basedOn w:val="a"/>
    <w:rsid w:val="007000F7"/>
    <w:pPr>
      <w:suppressAutoHyphens/>
      <w:spacing w:line="360" w:lineRule="auto"/>
    </w:pPr>
    <w:rPr>
      <w:rFonts w:cs="Arial"/>
      <w:sz w:val="28"/>
      <w:lang w:val="pl-PL" w:eastAsia="ar-SA"/>
    </w:rPr>
  </w:style>
  <w:style w:type="paragraph" w:styleId="21">
    <w:name w:val="List 2"/>
    <w:basedOn w:val="a"/>
    <w:rsid w:val="007000F7"/>
    <w:pPr>
      <w:ind w:left="566" w:hanging="283"/>
    </w:pPr>
    <w:rPr>
      <w:rFonts w:ascii="CG Times" w:hAnsi="CG Times"/>
      <w:lang w:val="pl-PL"/>
    </w:rPr>
  </w:style>
  <w:style w:type="paragraph" w:styleId="a8">
    <w:name w:val="List"/>
    <w:basedOn w:val="a"/>
    <w:rsid w:val="007000F7"/>
    <w:pPr>
      <w:ind w:left="283" w:hanging="283"/>
    </w:pPr>
  </w:style>
  <w:style w:type="paragraph" w:styleId="a9">
    <w:name w:val="Body Text Indent"/>
    <w:basedOn w:val="a"/>
    <w:link w:val="aa"/>
    <w:rsid w:val="007000F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List Continue 2"/>
    <w:basedOn w:val="a"/>
    <w:rsid w:val="007000F7"/>
    <w:pPr>
      <w:spacing w:after="120"/>
      <w:ind w:left="566"/>
    </w:pPr>
  </w:style>
  <w:style w:type="paragraph" w:styleId="3">
    <w:name w:val="Body Text 3"/>
    <w:basedOn w:val="a"/>
    <w:link w:val="30"/>
    <w:rsid w:val="007000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00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Утверждаю"/>
    <w:basedOn w:val="a"/>
    <w:rsid w:val="00264AE2"/>
    <w:pPr>
      <w:suppressAutoHyphens/>
      <w:ind w:left="4395" w:right="-74"/>
    </w:pPr>
    <w:rPr>
      <w:rFonts w:ascii="Arial" w:eastAsia="Batang" w:hAnsi="Arial"/>
    </w:rPr>
  </w:style>
  <w:style w:type="paragraph" w:customStyle="1" w:styleId="ac">
    <w:name w:val="[О] Заголовок"/>
    <w:rsid w:val="00264AE2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character" w:styleId="ad">
    <w:name w:val="Hyperlink"/>
    <w:uiPriority w:val="99"/>
    <w:unhideWhenUsed/>
    <w:rsid w:val="00264AE2"/>
    <w:rPr>
      <w:color w:val="0563C1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EE0C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E0CFD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rsid w:val="00CD5984"/>
    <w:rPr>
      <w:rFonts w:ascii="Times New Roman" w:eastAsia="Times New Roman" w:hAnsi="Times New Roman"/>
      <w:b/>
      <w:sz w:val="28"/>
    </w:rPr>
  </w:style>
  <w:style w:type="paragraph" w:styleId="ae">
    <w:name w:val="header"/>
    <w:basedOn w:val="a"/>
    <w:link w:val="af"/>
    <w:uiPriority w:val="99"/>
    <w:unhideWhenUsed/>
    <w:rsid w:val="003F28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F28D5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21AB0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21AB0"/>
    <w:rPr>
      <w:rFonts w:ascii="Courier New" w:eastAsia="Times New Roman" w:hAnsi="Courier New" w:cs="Courier New"/>
    </w:rPr>
  </w:style>
  <w:style w:type="paragraph" w:styleId="af0">
    <w:name w:val="List Continue"/>
    <w:basedOn w:val="a"/>
    <w:uiPriority w:val="99"/>
    <w:semiHidden/>
    <w:unhideWhenUsed/>
    <w:rsid w:val="0047616F"/>
    <w:pPr>
      <w:spacing w:after="120"/>
      <w:ind w:left="283"/>
      <w:contextualSpacing/>
    </w:pPr>
  </w:style>
  <w:style w:type="paragraph" w:styleId="25">
    <w:name w:val="Body Text 2"/>
    <w:basedOn w:val="a"/>
    <w:link w:val="26"/>
    <w:uiPriority w:val="99"/>
    <w:semiHidden/>
    <w:unhideWhenUsed/>
    <w:rsid w:val="009B151E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B151E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D372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annotation text"/>
    <w:basedOn w:val="a"/>
    <w:link w:val="af2"/>
    <w:uiPriority w:val="99"/>
    <w:semiHidden/>
    <w:unhideWhenUsed/>
    <w:rsid w:val="00F52551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af2">
    <w:name w:val="Текст примечания Знак"/>
    <w:link w:val="af1"/>
    <w:uiPriority w:val="99"/>
    <w:semiHidden/>
    <w:rsid w:val="00F52551"/>
    <w:rPr>
      <w:lang w:eastAsia="en-US"/>
    </w:rPr>
  </w:style>
  <w:style w:type="character" w:styleId="af3">
    <w:name w:val="annotation reference"/>
    <w:uiPriority w:val="99"/>
    <w:semiHidden/>
    <w:unhideWhenUsed/>
    <w:rsid w:val="00F52551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F5255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F52551"/>
    <w:rPr>
      <w:rFonts w:ascii="Segoe UI" w:eastAsia="Times New Roman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2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87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35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7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5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2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66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53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6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23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9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85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88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493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7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8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5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2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9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87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68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25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2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40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75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3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3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6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0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1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03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18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0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5498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0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6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83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58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4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76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2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518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84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750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57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6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5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9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8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63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23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8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0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7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6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5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74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0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71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4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6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0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5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2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11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26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18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80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422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5987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197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7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54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8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07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5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45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versereaction@drugsafe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gia.co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CC96-A905-40C2-964B-9798D201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16807</CharactersWithSpaces>
  <SharedDoc>false</SharedDoc>
  <HLinks>
    <vt:vector size="24" baseType="variant">
      <vt:variant>
        <vt:i4>4784187</vt:i4>
      </vt:variant>
      <vt:variant>
        <vt:i4>9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mtumanchinova</dc:creator>
  <cp:lastModifiedBy>Dell</cp:lastModifiedBy>
  <cp:revision>3</cp:revision>
  <cp:lastPrinted>2016-03-28T04:56:00Z</cp:lastPrinted>
  <dcterms:created xsi:type="dcterms:W3CDTF">2023-11-08T09:39:00Z</dcterms:created>
  <dcterms:modified xsi:type="dcterms:W3CDTF">2024-09-30T07:18:00Z</dcterms:modified>
</cp:coreProperties>
</file>